
<file path=[Content_Types].xml><?xml version="1.0" encoding="utf-8"?>
<Types xmlns="http://schemas.openxmlformats.org/package/2006/content-types">
  <Default Extension="svg" ContentType="image/svg+xml"/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header3.xml" ContentType="application/vnd.openxmlformats-officedocument.wordprocessingml.header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909"/>
      </w:pPr>
      <w:r>
        <w:rPr>
          <w:bCs/>
          <w:szCs w:val="28"/>
          <w:highlight w:val="none"/>
        </w:rPr>
      </w:r>
      <w:r>
        <w:rPr>
          <w:rFonts w:eastAsia="Calibri"/>
          <w:sz w:val="20"/>
          <w:szCs w:val="20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8424" cy="652127"/>
                <wp:effectExtent l="0" t="0" r="0" b="0"/>
                <wp:docPr id="1" name="_x0000_i102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27205286" name=""/>
                        <pic:cNvPicPr/>
                        <pic:nvPr/>
                      </pic:nvPicPr>
                      <pic:blipFill>
                        <a:blip r:embed="rId14">
                          <a:extLst>
                            <a:ext uri="{96DAC541-7B7A-43D3-8B79-37D633B846F1}">
                              <asvg:svgBlip xmlns:asvg="http://schemas.microsoft.com/office/drawing/2016/SVG/main" r:embed="rId15"/>
                            </a:ext>
                          </a:extLst>
                        </a:blip>
                        <a:stretch/>
                      </pic:blipFill>
                      <pic:spPr bwMode="auto">
                        <a:xfrm rot="0" flipH="0" flipV="0">
                          <a:off x="0" y="0"/>
                          <a:ext cx="548424" cy="6521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3.18pt;height:51.35pt;mso-wrap-distance-left:0.00pt;mso-wrap-distance-top:0.00pt;mso-wrap-distance-right:0.00pt;mso-wrap-distance-bottom:0.00pt;rotation:0;" stroked="f">
                <v:path textboxrect="0,0,0,0"/>
                <v:imagedata r:id="rId14" o:title=""/>
              </v:shape>
            </w:pict>
          </mc:Fallback>
        </mc:AlternateContent>
      </w:r>
      <w:r>
        <w:rPr>
          <w:bCs/>
          <w:szCs w:val="28"/>
          <w:highlight w:val="none"/>
        </w:rPr>
      </w:r>
      <w:r/>
    </w:p>
    <w:p>
      <w:r/>
      <w:r/>
    </w:p>
    <w:p>
      <w:pPr>
        <w:pStyle w:val="909"/>
        <w:rPr>
          <w:highlight w:val="none"/>
        </w:rPr>
      </w:pPr>
      <w:r>
        <w:rPr>
          <w:bCs/>
          <w:szCs w:val="28"/>
        </w:rPr>
        <w:t xml:space="preserve">ДЕПАРТАМЕНТ ИМУЩЕСТВА И ЗЕМЕЛЬНЫХ ОТНОШЕНИЙ</w:t>
      </w:r>
      <w:r>
        <w:rPr>
          <w:highlight w:val="none"/>
        </w:rPr>
      </w:r>
      <w:r>
        <w:rPr>
          <w:highlight w:val="none"/>
        </w:rPr>
      </w:r>
    </w:p>
    <w:p>
      <w:pPr>
        <w:pStyle w:val="910"/>
        <w:rPr>
          <w:sz w:val="28"/>
          <w:szCs w:val="28"/>
        </w:rPr>
      </w:pPr>
      <w:r>
        <w:rPr>
          <w:sz w:val="28"/>
          <w:szCs w:val="28"/>
        </w:rPr>
        <w:t xml:space="preserve">НОВОСИБИРСКОЙ ОБЛАСТИ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08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09"/>
        <w:rPr>
          <w:bCs/>
          <w:szCs w:val="28"/>
        </w:rPr>
      </w:pPr>
      <w:r>
        <w:rPr>
          <w:bCs/>
          <w:szCs w:val="28"/>
        </w:rPr>
        <w:t xml:space="preserve">ПОЯСНИТЕЛЬНАЯ ЗАПИСКА </w:t>
      </w:r>
      <w:r>
        <w:rPr>
          <w:bCs/>
          <w:szCs w:val="28"/>
        </w:rPr>
      </w:r>
      <w:r>
        <w:rPr>
          <w:bCs/>
          <w:szCs w:val="28"/>
        </w:rPr>
      </w:r>
    </w:p>
    <w:p>
      <w:pPr>
        <w:pStyle w:val="908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08"/>
        <w:jc w:val="center"/>
        <w:tabs>
          <w:tab w:val="left" w:pos="6804" w:leader="none"/>
        </w:tabs>
      </w:pPr>
      <w:r>
        <w:rPr>
          <w:b/>
          <w:sz w:val="28"/>
          <w:szCs w:val="28"/>
        </w:rPr>
        <w:t xml:space="preserve">к проекту закона Новосибирской области «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переводе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земельного участка с</w:t>
      </w:r>
      <w:r>
        <w:rPr>
          <w:rFonts w:ascii="Times New Roman" w:hAnsi="Times New Roman"/>
          <w:b/>
          <w:sz w:val="28"/>
          <w:szCs w:val="28"/>
        </w:rPr>
        <w:t xml:space="preserve"> 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кадастровым номе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ром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54:13:025315:784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и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з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состава земель одной категории в другую</w:t>
      </w:r>
      <w:r>
        <w:rPr>
          <w:b/>
          <w:sz w:val="28"/>
          <w:szCs w:val="28"/>
        </w:rPr>
        <w:t xml:space="preserve">»</w:t>
      </w:r>
      <w:r>
        <w:rPr>
          <w:b/>
          <w:bCs/>
          <w:sz w:val="28"/>
          <w:szCs w:val="28"/>
        </w:rPr>
      </w:r>
      <w:r/>
    </w:p>
    <w:p>
      <w:pPr>
        <w:pStyle w:val="908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08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Федеральным законом от 21.12.2004 № 172-ФЗ «О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sz w:val="28"/>
          <w:szCs w:val="28"/>
        </w:rPr>
        <w:t xml:space="preserve">переводе земель или земельных участков из одной категории в др</w:t>
      </w:r>
      <w:r>
        <w:rPr>
          <w:sz w:val="28"/>
          <w:szCs w:val="28"/>
        </w:rPr>
        <w:t xml:space="preserve">у</w:t>
      </w:r>
      <w:r>
        <w:rPr>
          <w:sz w:val="28"/>
          <w:szCs w:val="28"/>
        </w:rPr>
        <w:t xml:space="preserve">гую» (далее – Закон №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172-ФЗ) департаментом имущества и земельных отношений Новосибирской области рассмотрено ходатайство администрации Краснозерского</w:t>
      </w:r>
      <w:r>
        <w:rPr>
          <w:sz w:val="28"/>
          <w:szCs w:val="28"/>
        </w:rPr>
        <w:t xml:space="preserve"> района</w:t>
      </w:r>
      <w:r>
        <w:rPr>
          <w:sz w:val="28"/>
          <w:szCs w:val="28"/>
        </w:rPr>
        <w:t xml:space="preserve"> Новосибирской области и пакет документов о переводе из категории земель сельскохозяйственного назначения в категорию земель особо охраняемых территорий и объектов земельного участка с кадастровым номером </w:t>
      </w:r>
      <w:r>
        <w:rPr>
          <w:sz w:val="28"/>
          <w:szCs w:val="28"/>
        </w:rPr>
        <w:t xml:space="preserve">54:13:025315:784</w:t>
      </w:r>
      <w:r>
        <w:rPr>
          <w:sz w:val="28"/>
          <w:szCs w:val="28"/>
        </w:rPr>
        <w:t xml:space="preserve">, местоположение: </w:t>
      </w:r>
      <w:r>
        <w:rPr>
          <w:rFonts w:ascii="Times New Roman" w:hAnsi="Times New Roman"/>
          <w:sz w:val="28"/>
          <w:szCs w:val="28"/>
        </w:rPr>
        <w:t xml:space="preserve">Новосибирская область, Краснозерский район, Веселовский сельсовет</w:t>
      </w:r>
      <w:r>
        <w:rPr>
          <w:sz w:val="28"/>
          <w:szCs w:val="28"/>
        </w:rPr>
        <w:t xml:space="preserve">, площадью 9325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кв. м, для размещения кладбища.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749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перевода земель сельскохозяйственных угодий или з</w:t>
      </w:r>
      <w:r>
        <w:rPr>
          <w:sz w:val="28"/>
          <w:szCs w:val="28"/>
        </w:rPr>
        <w:t xml:space="preserve">емельных участков в составе таких земель из земель сельскохозяйственного назначения в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другую категорию (в том числе в категорию земель «земли особо охраняемых территорий и объектов») устанавливаются </w:t>
      </w:r>
      <w:r>
        <w:rPr>
          <w:color w:val="000000"/>
          <w:sz w:val="28"/>
          <w:szCs w:val="28"/>
          <w:highlight w:val="white"/>
        </w:rPr>
        <w:t xml:space="preserve">статьей 7 Закона № 172-ФЗ</w:t>
      </w:r>
      <w:r>
        <w:rPr>
          <w:color w:val="000000"/>
          <w:sz w:val="28"/>
          <w:szCs w:val="28"/>
        </w:rPr>
        <w:t xml:space="preserve">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749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</w:pP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Г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енеральным планом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В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е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с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е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л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о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в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с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к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о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г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о</w:t>
      </w:r>
      <w:r>
        <w:rPr>
          <w:sz w:val="28"/>
          <w:szCs w:val="28"/>
        </w:rPr>
        <w:t xml:space="preserve"> сельсовета Краснозерского района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Новосибирской области,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утвержденным р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ешением девятой (внеочередной) сессии Совета депутатов Краснозерского района Новосибирской области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от 24.02.2026 № 79 «Об утверждении Генерального плана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В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е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с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е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л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о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в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с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к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о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г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о</w:t>
      </w:r>
      <w:r>
        <w:rPr>
          <w:sz w:val="28"/>
          <w:szCs w:val="28"/>
        </w:rPr>
        <w:t xml:space="preserve"> сельсовета Краснозерского</w:t>
      </w:r>
      <w:r>
        <w:rPr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района Новосибирской области»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земельный участок отнесен к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 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функциональной зоне – зона кладбищ. </w:t>
      </w:r>
      <w:r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</w:r>
      <w:r>
        <w:rPr>
          <w:rFonts w:ascii="Times New Roman" w:hAnsi="Times New Roman" w:cs="Times New Roman"/>
          <w:color w:val="000000" w:themeColor="text1"/>
          <w:sz w:val="28"/>
          <w:szCs w:val="28"/>
          <w:highlight w:val="white"/>
        </w:rPr>
      </w:r>
    </w:p>
    <w:p>
      <w:pPr>
        <w:pStyle w:val="749"/>
        <w:ind w:firstLine="708"/>
        <w:jc w:val="both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</w:r>
      <w:r>
        <w:rPr>
          <w:sz w:val="28"/>
          <w:szCs w:val="28"/>
          <w:highlight w:val="white"/>
        </w:rPr>
        <w:t xml:space="preserve">В с</w:t>
      </w:r>
      <w:r>
        <w:rPr>
          <w:sz w:val="28"/>
          <w:szCs w:val="28"/>
          <w:highlight w:val="white"/>
        </w:rPr>
        <w:t xml:space="preserve">оответствии с подпунктом 3 пункта 1 статьи 99 Земельного кодекса Российской Федерации (далее - ЗК РФ) земли военных и гражданских захоронений относятся к землям историко-культурного назначения и, соответственно, являются землями особо охраняемых территорий</w:t>
      </w:r>
      <w:r>
        <w:rPr>
          <w:sz w:val="28"/>
          <w:szCs w:val="28"/>
          <w:highlight w:val="white"/>
        </w:rPr>
        <w:t xml:space="preserve"> (подпункт 4 пункта 2 </w:t>
      </w:r>
      <w:r>
        <w:rPr>
          <w:sz w:val="28"/>
          <w:szCs w:val="28"/>
          <w:highlight w:val="white"/>
        </w:rPr>
        <w:t xml:space="preserve">статьи</w:t>
      </w:r>
      <w:r>
        <w:rPr>
          <w:sz w:val="28"/>
          <w:szCs w:val="28"/>
          <w:highlight w:val="white"/>
        </w:rPr>
        <w:t xml:space="preserve"> 94 ЗК РФ)</w:t>
      </w:r>
      <w:r>
        <w:rPr>
          <w:sz w:val="28"/>
          <w:szCs w:val="28"/>
          <w:highlight w:val="white"/>
        </w:rPr>
        <w:t xml:space="preserve">.</w:t>
      </w:r>
      <w:r>
        <w:rPr>
          <w:sz w:val="28"/>
          <w:szCs w:val="28"/>
          <w:highlight w:val="white"/>
        </w:rPr>
      </w:r>
      <w:r>
        <w:rPr>
          <w:sz w:val="28"/>
          <w:szCs w:val="28"/>
          <w:highlight w:val="white"/>
        </w:rPr>
      </w:r>
    </w:p>
    <w:p>
      <w:pPr>
        <w:pStyle w:val="749"/>
        <w:ind w:firstLine="708"/>
        <w:jc w:val="both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  <w:t xml:space="preserve">Таким образом,</w:t>
      </w:r>
      <w:r>
        <w:rPr>
          <w:sz w:val="28"/>
          <w:szCs w:val="28"/>
          <w:highlight w:val="white"/>
        </w:rPr>
        <w:t xml:space="preserve"> земельные</w:t>
      </w:r>
      <w:r>
        <w:rPr>
          <w:sz w:val="28"/>
          <w:szCs w:val="28"/>
          <w:highlight w:val="white"/>
        </w:rPr>
        <w:t xml:space="preserve"> участки, входящие в </w:t>
      </w:r>
      <w:r>
        <w:rPr>
          <w:sz w:val="28"/>
          <w:szCs w:val="28"/>
          <w:highlight w:val="white"/>
        </w:rPr>
        <w:t xml:space="preserve">функциональн</w:t>
      </w:r>
      <w:r>
        <w:rPr>
          <w:sz w:val="28"/>
          <w:szCs w:val="28"/>
          <w:highlight w:val="white"/>
        </w:rPr>
        <w:t xml:space="preserve">ую</w:t>
      </w:r>
      <w:r>
        <w:rPr>
          <w:sz w:val="28"/>
          <w:szCs w:val="28"/>
          <w:highlight w:val="white"/>
        </w:rPr>
        <w:t xml:space="preserve"> зон</w:t>
      </w:r>
      <w:r>
        <w:rPr>
          <w:sz w:val="28"/>
          <w:szCs w:val="28"/>
          <w:highlight w:val="white"/>
        </w:rPr>
        <w:t xml:space="preserve">у</w:t>
      </w:r>
      <w:r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  <w:highlight w:val="white"/>
        </w:rPr>
        <w:t xml:space="preserve">«</w:t>
      </w:r>
      <w:r>
        <w:rPr>
          <w:sz w:val="28"/>
          <w:szCs w:val="28"/>
          <w:highlight w:val="white"/>
        </w:rPr>
        <w:t xml:space="preserve">зона кладбищ</w:t>
      </w:r>
      <w:r>
        <w:rPr>
          <w:sz w:val="28"/>
          <w:szCs w:val="28"/>
          <w:highlight w:val="white"/>
        </w:rPr>
        <w:t xml:space="preserve">»</w:t>
      </w:r>
      <w:r>
        <w:rPr>
          <w:sz w:val="28"/>
          <w:szCs w:val="28"/>
          <w:highlight w:val="white"/>
        </w:rPr>
        <w:t xml:space="preserve"> о</w:t>
      </w:r>
      <w:r>
        <w:rPr>
          <w:sz w:val="28"/>
          <w:szCs w:val="28"/>
          <w:highlight w:val="white"/>
        </w:rPr>
        <w:t xml:space="preserve">тносятся к</w:t>
      </w:r>
      <w:r>
        <w:rPr>
          <w:sz w:val="28"/>
          <w:szCs w:val="28"/>
          <w:highlight w:val="white"/>
        </w:rPr>
        <w:t xml:space="preserve"> зем</w:t>
      </w:r>
      <w:r>
        <w:rPr>
          <w:sz w:val="28"/>
          <w:szCs w:val="28"/>
          <w:highlight w:val="white"/>
        </w:rPr>
        <w:t xml:space="preserve">л</w:t>
      </w:r>
      <w:r>
        <w:rPr>
          <w:sz w:val="28"/>
          <w:szCs w:val="28"/>
          <w:highlight w:val="white"/>
        </w:rPr>
        <w:t xml:space="preserve">ям</w:t>
      </w:r>
      <w:r>
        <w:rPr>
          <w:sz w:val="28"/>
          <w:szCs w:val="28"/>
          <w:highlight w:val="white"/>
        </w:rPr>
        <w:t xml:space="preserve"> историко-культурного назначения в составе земель категории «земли </w:t>
      </w:r>
      <w:r>
        <w:rPr>
          <w:sz w:val="28"/>
          <w:szCs w:val="28"/>
          <w:highlight w:val="white"/>
        </w:rPr>
        <w:t xml:space="preserve">особо охраняемых территорий и объектов». </w:t>
      </w:r>
      <w:r>
        <w:rPr>
          <w:sz w:val="28"/>
          <w:szCs w:val="28"/>
          <w:highlight w:val="white"/>
        </w:rPr>
      </w:r>
      <w:r>
        <w:rPr>
          <w:sz w:val="28"/>
          <w:szCs w:val="28"/>
          <w:highlight w:val="white"/>
        </w:rPr>
      </w:r>
    </w:p>
    <w:p>
      <w:pPr>
        <w:pStyle w:val="937"/>
        <w:ind w:left="0" w:righ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информации, указанной в представленном ходатайстве,</w:t>
      </w:r>
      <w:r>
        <w:rPr>
          <w:rFonts w:ascii="Times New Roman" w:hAnsi="Times New Roman"/>
          <w:sz w:val="28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7523328" behindDoc="1" locked="0" layoutInCell="1" allowOverlap="1">
                <wp:simplePos x="0" y="0"/>
                <wp:positionH relativeFrom="page">
                  <wp:posOffset>3889260</wp:posOffset>
                </wp:positionH>
                <wp:positionV relativeFrom="paragraph">
                  <wp:posOffset>345089</wp:posOffset>
                </wp:positionV>
                <wp:extent cx="353060" cy="122555"/>
                <wp:effectExtent l="0" t="0" r="0" b="0"/>
                <wp:wrapNone/>
                <wp:docPr id="2" name="Text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353058" cy="12255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ind w:left="20" w:right="0" w:firstLine="0"/>
                              <w:jc w:val="left"/>
                              <w:spacing w:before="20"/>
                              <w:rPr>
                                <w:rFonts w:ascii="Courier New"/>
                                <w:sz w:val="22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  <w:sz w:val="22"/>
                              </w:rPr>
                              <w:t xml:space="preserve">0</w:t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</w:p>
                          <w:p>
                            <w:pPr>
                              <w:ind w:left="64" w:right="0" w:firstLine="0"/>
                              <w:jc w:val="left"/>
                              <w:spacing w:before="17"/>
                              <w:rPr>
                                <w:rFonts w:ascii="Courier New"/>
                                <w:sz w:val="22"/>
                              </w:rPr>
                            </w:pPr>
                            <w:r>
                              <w:rPr>
                                <w:rFonts w:ascii="Courier New"/>
                                <w:spacing w:val="-21"/>
                                <w:sz w:val="22"/>
                              </w:rPr>
                              <w:t xml:space="preserve">n::</w:t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</w:p>
                        </w:txbxContent>
                      </wps:txbx>
                      <wps:bodyPr vert="vert270" wrap="square" lIns="36000" tIns="36000" rIns="36000" bIns="3600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" o:spid="_x0000_s1" o:spt="202" type="#_x0000_t202" style="position:absolute;z-index:-487523328;o:allowoverlap:true;o:allowincell:true;mso-position-horizontal-relative:page;margin-left:306.24pt;mso-position-horizontal:absolute;mso-position-vertical-relative:text;margin-top:27.17pt;mso-position-vertical:absolute;width:27.80pt;height:9.65pt;mso-wrap-distance-left:0.00pt;mso-wrap-distance-top:0.00pt;mso-wrap-distance-right:0.00pt;mso-wrap-distance-bottom:0.00pt;visibility:visible;" filled="f">
                <v:textbox inset="0,0,0,0">
                  <w:txbxContent>
                    <w:p>
                      <w:pPr>
                        <w:ind w:left="20" w:right="0" w:firstLine="0"/>
                        <w:jc w:val="left"/>
                        <w:spacing w:before="20"/>
                        <w:rPr>
                          <w:rFonts w:ascii="Courier New"/>
                          <w:sz w:val="22"/>
                        </w:rPr>
                      </w:pPr>
                      <w:r>
                        <w:rPr>
                          <w:rFonts w:ascii="Courier New"/>
                          <w:spacing w:val="-10"/>
                          <w:sz w:val="22"/>
                        </w:rPr>
                        <w:t xml:space="preserve">0</w:t>
                      </w:r>
                      <w:r>
                        <w:rPr>
                          <w:rFonts w:ascii="Courier New"/>
                          <w:sz w:val="22"/>
                        </w:rPr>
                      </w:r>
                      <w:r>
                        <w:rPr>
                          <w:rFonts w:ascii="Courier New"/>
                          <w:sz w:val="22"/>
                        </w:rPr>
                      </w:r>
                    </w:p>
                    <w:p>
                      <w:pPr>
                        <w:ind w:left="64" w:right="0" w:firstLine="0"/>
                        <w:jc w:val="left"/>
                        <w:spacing w:before="17"/>
                        <w:rPr>
                          <w:rFonts w:ascii="Courier New"/>
                          <w:sz w:val="22"/>
                        </w:rPr>
                      </w:pPr>
                      <w:r>
                        <w:rPr>
                          <w:rFonts w:ascii="Courier New"/>
                          <w:spacing w:val="-21"/>
                          <w:sz w:val="22"/>
                        </w:rPr>
                        <w:t xml:space="preserve">n::</w:t>
                      </w:r>
                      <w:r>
                        <w:rPr>
                          <w:rFonts w:ascii="Courier New"/>
                          <w:sz w:val="22"/>
                        </w:rPr>
                      </w:r>
                      <w:r>
                        <w:rPr>
                          <w:rFonts w:ascii="Courier New"/>
                          <w:sz w:val="22"/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sz w:val="28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7523840" behindDoc="1" locked="0" layoutInCell="1" allowOverlap="1">
                <wp:simplePos x="0" y="0"/>
                <wp:positionH relativeFrom="page">
                  <wp:posOffset>4149829</wp:posOffset>
                </wp:positionH>
                <wp:positionV relativeFrom="paragraph">
                  <wp:posOffset>272404</wp:posOffset>
                </wp:positionV>
                <wp:extent cx="184150" cy="129539"/>
                <wp:effectExtent l="0" t="0" r="0" b="0"/>
                <wp:wrapNone/>
                <wp:docPr id="3" name="Text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84148" cy="129537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ind w:left="20" w:right="0" w:firstLine="0"/>
                              <w:jc w:val="left"/>
                              <w:spacing w:before="20"/>
                              <w:rPr>
                                <w:rFonts w:ascii="Courier New"/>
                                <w:sz w:val="22"/>
                              </w:rPr>
                            </w:pPr>
                            <w:r>
                              <w:rPr>
                                <w:rFonts w:ascii="Courier New"/>
                                <w:spacing w:val="-7"/>
                                <w:sz w:val="22"/>
                              </w:rPr>
                              <w:t xml:space="preserve">n:</w:t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  <w:r>
                              <w:rPr>
                                <w:rFonts w:ascii="Courier New"/>
                                <w:sz w:val="22"/>
                              </w:rPr>
                            </w:r>
                          </w:p>
                        </w:txbxContent>
                      </wps:txbx>
                      <wps:bodyPr vert="vert270" wrap="square" lIns="36000" tIns="36000" rIns="36000" bIns="3600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" o:spid="_x0000_s2" o:spt="202" type="#_x0000_t202" style="position:absolute;z-index:-487523840;o:allowoverlap:true;o:allowincell:true;mso-position-horizontal-relative:page;margin-left:326.76pt;mso-position-horizontal:absolute;mso-position-vertical-relative:text;margin-top:21.45pt;mso-position-vertical:absolute;width:14.50pt;height:10.20pt;mso-wrap-distance-left:0.00pt;mso-wrap-distance-top:0.00pt;mso-wrap-distance-right:0.00pt;mso-wrap-distance-bottom:0.00pt;visibility:visible;" filled="f">
                <v:textbox inset="0,0,0,0">
                  <w:txbxContent>
                    <w:p>
                      <w:pPr>
                        <w:ind w:left="20" w:right="0" w:firstLine="0"/>
                        <w:jc w:val="left"/>
                        <w:spacing w:before="20"/>
                        <w:rPr>
                          <w:rFonts w:ascii="Courier New"/>
                          <w:sz w:val="22"/>
                        </w:rPr>
                      </w:pPr>
                      <w:r>
                        <w:rPr>
                          <w:rFonts w:ascii="Courier New"/>
                          <w:spacing w:val="-7"/>
                          <w:sz w:val="22"/>
                        </w:rPr>
                        <w:t xml:space="preserve">n:</w:t>
                      </w:r>
                      <w:r>
                        <w:rPr>
                          <w:rFonts w:ascii="Courier New"/>
                          <w:sz w:val="22"/>
                        </w:rPr>
                      </w:r>
                      <w:r>
                        <w:rPr>
                          <w:rFonts w:ascii="Courier New"/>
                          <w:sz w:val="22"/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sz w:val="28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7524352" behindDoc="1" locked="0" layoutInCell="1" allowOverlap="1">
                <wp:simplePos x="0" y="0"/>
                <wp:positionH relativeFrom="page">
                  <wp:posOffset>4235256</wp:posOffset>
                </wp:positionH>
                <wp:positionV relativeFrom="paragraph">
                  <wp:posOffset>353948</wp:posOffset>
                </wp:positionV>
                <wp:extent cx="198120" cy="100965"/>
                <wp:effectExtent l="0" t="0" r="0" b="0"/>
                <wp:wrapNone/>
                <wp:docPr id="4" name="Text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 txBox="1"/>
                      <wps:spPr bwMode="auto">
                        <a:xfrm>
                          <a:off x="0" y="0"/>
                          <a:ext cx="198118" cy="10096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ind w:left="20" w:right="0" w:firstLine="0"/>
                              <w:jc w:val="left"/>
                              <w:spacing w:before="20"/>
                              <w:rPr>
                                <w:rFonts w:ascii="Courier New"/>
                                <w:sz w:val="24"/>
                              </w:rPr>
                            </w:pPr>
                            <w:r>
                              <w:rPr>
                                <w:rFonts w:ascii="Courier New"/>
                                <w:spacing w:val="-10"/>
                                <w:sz w:val="24"/>
                              </w:rPr>
                              <w:t xml:space="preserve">0</w:t>
                            </w:r>
                            <w:r>
                              <w:rPr>
                                <w:rFonts w:ascii="Courier New"/>
                                <w:sz w:val="24"/>
                              </w:rPr>
                            </w:r>
                            <w:r>
                              <w:rPr>
                                <w:rFonts w:ascii="Courier New"/>
                                <w:sz w:val="24"/>
                              </w:rPr>
                            </w:r>
                          </w:p>
                        </w:txbxContent>
                      </wps:txbx>
                      <wps:bodyPr vert="vert270" wrap="square" lIns="36000" tIns="36000" rIns="36000" bIns="3600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" o:spid="_x0000_s3" o:spt="202" type="#_x0000_t202" style="position:absolute;z-index:-487524352;o:allowoverlap:true;o:allowincell:true;mso-position-horizontal-relative:page;margin-left:333.48pt;mso-position-horizontal:absolute;mso-position-vertical-relative:text;margin-top:27.87pt;mso-position-vertical:absolute;width:15.60pt;height:7.95pt;mso-wrap-distance-left:0.00pt;mso-wrap-distance-top:0.00pt;mso-wrap-distance-right:0.00pt;mso-wrap-distance-bottom:0.00pt;visibility:visible;" filled="f">
                <v:textbox inset="0,0,0,0">
                  <w:txbxContent>
                    <w:p>
                      <w:pPr>
                        <w:ind w:left="20" w:right="0" w:firstLine="0"/>
                        <w:jc w:val="left"/>
                        <w:spacing w:before="20"/>
                        <w:rPr>
                          <w:rFonts w:ascii="Courier New"/>
                          <w:sz w:val="24"/>
                        </w:rPr>
                      </w:pPr>
                      <w:r>
                        <w:rPr>
                          <w:rFonts w:ascii="Courier New"/>
                          <w:spacing w:val="-10"/>
                          <w:sz w:val="24"/>
                        </w:rPr>
                        <w:t xml:space="preserve">0</w:t>
                      </w:r>
                      <w:r>
                        <w:rPr>
                          <w:rFonts w:ascii="Courier New"/>
                          <w:sz w:val="24"/>
                        </w:rPr>
                      </w:r>
                      <w:r>
                        <w:rPr>
                          <w:rFonts w:ascii="Courier New"/>
                          <w:sz w:val="24"/>
                        </w:rPr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земельный участок с кадастровым номером </w:t>
      </w:r>
      <w:r>
        <w:rPr>
          <w:sz w:val="28"/>
          <w:szCs w:val="28"/>
        </w:rPr>
        <w:t xml:space="preserve">54:13:025315:784</w:t>
      </w:r>
      <w:r>
        <w:rPr>
          <w:sz w:val="28"/>
          <w:szCs w:val="28"/>
        </w:rPr>
        <w:t xml:space="preserve"> используется с 1989 года для</w:t>
      </w:r>
      <w:r>
        <w:rPr>
          <w:color w:val="000000"/>
          <w:sz w:val="28"/>
          <w:szCs w:val="28"/>
          <w:highlight w:val="white"/>
        </w:rPr>
        <w:t xml:space="preserve"> </w:t>
      </w:r>
      <w:r>
        <w:rPr>
          <w:sz w:val="28"/>
          <w:szCs w:val="28"/>
        </w:rPr>
        <w:t xml:space="preserve">организации мест захоронения (кладбище) на территории Веселовского сельсовета Краснозерского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района Новосибирской области вблизи п. Новый Баганенок </w:t>
      </w:r>
      <w:r>
        <w:rPr>
          <w:sz w:val="28"/>
          <w:szCs w:val="28"/>
        </w:rPr>
        <w:t xml:space="preserve">Краснозерского 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района Новосибирской области</w:t>
      </w:r>
      <w:r>
        <w:rPr>
          <w:rFonts w:ascii="Times New Roman" w:hAnsi="Times New Roman" w:eastAsia="Times New Roman" w:cs="Times New Roman"/>
          <w:color w:val="000000" w:themeColor="text1"/>
          <w:sz w:val="28"/>
          <w:szCs w:val="28"/>
          <w:highlight w:val="white"/>
        </w:rPr>
        <w:t xml:space="preserve">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37"/>
        <w:ind w:left="0" w:righ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</w:t>
      </w:r>
      <w:r>
        <w:rPr>
          <w:sz w:val="28"/>
          <w:szCs w:val="28"/>
        </w:rPr>
        <w:t xml:space="preserve">едение сельскохозяйственного производства на данном земельном участке невозможно </w:t>
      </w:r>
      <w:r>
        <w:rPr>
          <w:sz w:val="28"/>
          <w:szCs w:val="28"/>
        </w:rPr>
        <w:t xml:space="preserve">в связи: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37"/>
        <w:ind w:left="0" w:righ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 использованием данного земельного участка для кладбища;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37"/>
        <w:ind w:left="0" w:right="0" w:firstLine="709"/>
        <w:jc w:val="both"/>
        <w:rPr>
          <w:sz w:val="28"/>
          <w:szCs w:val="28"/>
          <w:highlight w:val="none"/>
        </w:rPr>
      </w:pPr>
      <w:r>
        <w:rPr>
          <w:sz w:val="28"/>
          <w:szCs w:val="28"/>
        </w:rPr>
        <w:t xml:space="preserve">- с особенностью рельефа местности;</w:t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pStyle w:val="937"/>
        <w:ind w:left="0" w:right="0" w:firstLine="709"/>
        <w:jc w:val="both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  <w:t xml:space="preserve">- с уровнем стояния грунтовых вод;</w:t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pStyle w:val="937"/>
        <w:ind w:left="0" w:right="0" w:firstLine="709"/>
        <w:jc w:val="both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  <w:t xml:space="preserve">- с сухой, пористой почвой;</w:t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pStyle w:val="937"/>
        <w:ind w:left="0" w:right="0" w:firstLine="709"/>
        <w:jc w:val="both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  <w:t xml:space="preserve">- с расстоянием от жилых, общественных зданий, спортивно-оздоровительных и санаторно-курортных зон.</w:t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pStyle w:val="937"/>
        <w:ind w:left="0" w:right="0" w:firstLine="709"/>
        <w:jc w:val="both"/>
        <w:rPr>
          <w:sz w:val="28"/>
          <w:szCs w:val="28"/>
        </w:rPr>
      </w:pPr>
      <w:r>
        <w:rPr>
          <w:sz w:val="28"/>
          <w:szCs w:val="28"/>
          <w:highlight w:val="none"/>
        </w:rPr>
        <w:t xml:space="preserve">Иные варианты использования земельных участков из других категорий земель для испрашиваемых целей отсутствуют по причине отсутствия таких земельных участков.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08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Земельный участок с кадастровым номером </w:t>
      </w:r>
      <w:r>
        <w:rPr>
          <w:sz w:val="28"/>
          <w:szCs w:val="28"/>
        </w:rPr>
        <w:t xml:space="preserve">54:13:025315:784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относится к</w:t>
      </w:r>
      <w:r>
        <w:rPr>
          <w:rFonts w:ascii="Times New Roman" w:hAnsi="Times New Roman" w:cs="Times New Roman"/>
          <w:color w:val="101010"/>
          <w:sz w:val="28"/>
          <w:szCs w:val="28"/>
          <w:shd w:val="clear" w:color="auto" w:fill="ffffff"/>
        </w:rPr>
        <w:t xml:space="preserve"> </w:t>
      </w:r>
      <w:r>
        <w:rPr>
          <w:color w:val="000000"/>
          <w:sz w:val="28"/>
          <w:szCs w:val="28"/>
        </w:rPr>
        <w:t xml:space="preserve">землям, государственная собственность на которые не разграничена.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Полномочия по распоряжению данным земельным участком относятся к </w:t>
      </w:r>
      <w:r>
        <w:rPr>
          <w:sz w:val="28"/>
          <w:szCs w:val="28"/>
        </w:rPr>
        <w:t xml:space="preserve">администрации Краснозерского</w:t>
      </w:r>
      <w:r>
        <w:rPr>
          <w:sz w:val="28"/>
          <w:szCs w:val="28"/>
        </w:rPr>
        <w:t xml:space="preserve"> района</w:t>
      </w:r>
      <w:r>
        <w:rPr>
          <w:sz w:val="28"/>
          <w:szCs w:val="28"/>
        </w:rPr>
        <w:t xml:space="preserve"> Новосибирской области</w:t>
      </w:r>
      <w:r>
        <w:rPr>
          <w:sz w:val="28"/>
          <w:szCs w:val="28"/>
        </w:rPr>
        <w:t xml:space="preserve">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14"/>
        <w:ind w:firstLine="708"/>
        <w:jc w:val="both"/>
      </w:pPr>
      <w:r>
        <w:rPr>
          <w:spacing w:val="-2"/>
          <w:sz w:val="28"/>
          <w:szCs w:val="28"/>
        </w:rPr>
        <w:t xml:space="preserve">Проект закона Новосибирской области «О переводе </w:t>
      </w:r>
      <w:r>
        <w:rPr>
          <w:sz w:val="28"/>
          <w:szCs w:val="28"/>
        </w:rPr>
        <w:t xml:space="preserve">земельного участка с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кадастровым номером </w:t>
      </w:r>
      <w:r>
        <w:rPr>
          <w:sz w:val="28"/>
          <w:szCs w:val="28"/>
        </w:rPr>
        <w:t xml:space="preserve">54:13:025315:784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из состава земель одной категории в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другую</w:t>
      </w:r>
      <w:r>
        <w:rPr>
          <w:sz w:val="28"/>
          <w:szCs w:val="28"/>
        </w:rPr>
        <w:t xml:space="preserve">» подготовлен департаментом имущества и земельных отношений Новосибирской области в соответствии с требованиями статей 7 и 10 Закона </w:t>
      </w:r>
      <w:r>
        <w:rPr>
          <w:sz w:val="28"/>
          <w:szCs w:val="28"/>
        </w:rPr>
        <w:t xml:space="preserve">№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172-ФЗ, допускающими </w:t>
      </w:r>
      <w:r>
        <w:rPr>
          <w:sz w:val="28"/>
          <w:szCs w:val="28"/>
        </w:rPr>
        <w:t xml:space="preserve">перевод земель </w:t>
      </w:r>
      <w:r>
        <w:rPr>
          <w:szCs w:val="28"/>
        </w:rPr>
        <w:t xml:space="preserve">сельскохозяйственных угодий или земельных участков в составе таких земель из земель сельскохозяйственного назначения</w:t>
      </w:r>
      <w:r>
        <w:rPr>
          <w:sz w:val="28"/>
          <w:szCs w:val="28"/>
        </w:rPr>
        <w:t xml:space="preserve"> в земли особо охраняемых территорий и объектов (за исключением земель населенных пунктов), в случае создания особо охраняемых территорий.</w:t>
      </w:r>
      <w:r>
        <w:rPr>
          <w:sz w:val="28"/>
          <w:szCs w:val="28"/>
        </w:rPr>
      </w:r>
      <w:r/>
    </w:p>
    <w:p>
      <w:pPr>
        <w:pStyle w:val="908"/>
        <w:ind w:firstLine="708"/>
        <w:jc w:val="both"/>
        <w:shd w:val="clear" w:color="auto" w:fill="ffffff"/>
        <w:rPr>
          <w:sz w:val="28"/>
          <w:szCs w:val="28"/>
          <w:highlight w:val="none"/>
        </w:rPr>
      </w:pPr>
      <w:r>
        <w:rPr>
          <w:spacing w:val="-1"/>
          <w:sz w:val="28"/>
          <w:szCs w:val="28"/>
        </w:rPr>
      </w:r>
      <w:r>
        <w:rPr>
          <w:color w:val="000000"/>
          <w:sz w:val="28"/>
          <w:szCs w:val="28"/>
        </w:rPr>
        <w:t xml:space="preserve">Код вида разрешенного использования з</w:t>
      </w:r>
      <w:r>
        <w:rPr>
          <w:sz w:val="28"/>
          <w:szCs w:val="28"/>
        </w:rPr>
        <w:t xml:space="preserve">емельного участка с кадастровым номером </w:t>
      </w:r>
      <w:r>
        <w:rPr>
          <w:sz w:val="28"/>
          <w:szCs w:val="28"/>
        </w:rPr>
        <w:t xml:space="preserve">54:13:025315:784</w:t>
      </w:r>
      <w:r>
        <w:rPr>
          <w:color w:val="000000"/>
          <w:sz w:val="28"/>
          <w:szCs w:val="28"/>
        </w:rPr>
        <w:t xml:space="preserve"> в выписке из Единого государственного реестра недвижимости не указан. </w:t>
      </w:r>
      <w:r>
        <w:rPr>
          <w:color w:val="000000"/>
          <w:sz w:val="28"/>
          <w:szCs w:val="28"/>
        </w:rPr>
        <w:t xml:space="preserve">Содержащийся в </w:t>
      </w:r>
      <w:r>
        <w:rPr>
          <w:color w:val="000000"/>
          <w:sz w:val="28"/>
          <w:szCs w:val="28"/>
        </w:rPr>
        <w:t xml:space="preserve">выписке из </w:t>
      </w:r>
      <w:r>
        <w:rPr>
          <w:color w:val="000000"/>
          <w:sz w:val="28"/>
          <w:szCs w:val="28"/>
        </w:rPr>
        <w:t xml:space="preserve">Единого государственного реестра недвижимости в</w:t>
      </w:r>
      <w:r>
        <w:rPr>
          <w:color w:val="000000"/>
          <w:sz w:val="28"/>
          <w:szCs w:val="28"/>
        </w:rPr>
        <w:t xml:space="preserve">ид разрешенного использования </w:t>
      </w:r>
      <w:r>
        <w:rPr>
          <w:color w:val="000000"/>
          <w:sz w:val="28"/>
          <w:szCs w:val="28"/>
        </w:rPr>
        <w:t xml:space="preserve">«для ведения сельскохозяйственного производства</w:t>
      </w:r>
      <w:r>
        <w:rPr>
          <w:color w:val="000000"/>
          <w:sz w:val="28"/>
          <w:szCs w:val="28"/>
        </w:rPr>
        <w:t xml:space="preserve">» позволяет определить код вида разрешенного использования данного земельного участка по приложению 1 к</w:t>
      </w:r>
      <w:r>
        <w:rPr>
          <w:color w:val="000000"/>
          <w:sz w:val="28"/>
          <w:szCs w:val="28"/>
        </w:rPr>
        <w:t xml:space="preserve"> </w:t>
      </w:r>
      <w:r>
        <w:rPr>
          <w:color w:val="000000"/>
          <w:sz w:val="28"/>
          <w:szCs w:val="28"/>
        </w:rPr>
        <w:t xml:space="preserve">приказу </w:t>
      </w:r>
      <w:r>
        <w:rPr>
          <w:color w:val="000000"/>
          <w:sz w:val="28"/>
          <w:szCs w:val="28"/>
        </w:rPr>
        <w:t xml:space="preserve">Росреестра</w:t>
      </w:r>
      <w:r>
        <w:rPr>
          <w:color w:val="000000"/>
          <w:sz w:val="28"/>
          <w:szCs w:val="28"/>
        </w:rPr>
        <w:t xml:space="preserve"> от 04.08.2021 № П/0336 «Об утверждении Методических </w:t>
      </w:r>
      <w:r>
        <w:rPr>
          <w:color w:val="000000"/>
          <w:sz w:val="28"/>
          <w:szCs w:val="28"/>
        </w:rPr>
        <w:t xml:space="preserve">указаний о государственной кадастровой оценке»: сегмент 1 «Сельскохозяйственное использование».</w:t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ind w:firstLine="708"/>
        <w:jc w:val="both"/>
        <w:shd w:val="clear" w:color="auto" w:fill="ffffff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pStyle w:val="908"/>
        <w:ind w:firstLine="709"/>
        <w:jc w:val="both"/>
        <w:shd w:val="clear" w:color="auto" w:fill="ffffff"/>
        <w:rPr>
          <w:spacing w:val="-1"/>
          <w:sz w:val="28"/>
          <w:szCs w:val="28"/>
          <w:highlight w:val="none"/>
        </w:rPr>
      </w:pPr>
      <w:r>
        <w:rPr>
          <w:sz w:val="28"/>
          <w:szCs w:val="28"/>
        </w:rPr>
        <w:t xml:space="preserve">К</w:t>
      </w:r>
      <w:r>
        <w:rPr>
          <w:spacing w:val="-2"/>
          <w:sz w:val="28"/>
          <w:szCs w:val="28"/>
        </w:rPr>
        <w:t xml:space="preserve">адастровая стоимость данного </w:t>
      </w:r>
      <w:r>
        <w:rPr>
          <w:sz w:val="28"/>
          <w:szCs w:val="28"/>
        </w:rPr>
        <w:t xml:space="preserve">земельного участка </w:t>
      </w:r>
      <w:r>
        <w:rPr>
          <w:spacing w:val="-1"/>
          <w:sz w:val="28"/>
          <w:szCs w:val="28"/>
        </w:rPr>
        <w:t xml:space="preserve">составляет:</w:t>
      </w:r>
      <w:r>
        <w:rPr>
          <w:spacing w:val="-1"/>
          <w:sz w:val="28"/>
          <w:szCs w:val="28"/>
          <w:highlight w:val="none"/>
        </w:rPr>
      </w:r>
      <w:r>
        <w:rPr>
          <w:spacing w:val="-1"/>
          <w:sz w:val="28"/>
          <w:szCs w:val="28"/>
          <w:highlight w:val="none"/>
        </w:rPr>
      </w:r>
    </w:p>
    <w:p>
      <w:pPr>
        <w:ind w:firstLine="709"/>
        <w:jc w:val="both"/>
        <w:shd w:val="clear" w:color="auto" w:fill="ffffff"/>
        <w:rPr>
          <w:spacing w:val="-1"/>
          <w:sz w:val="28"/>
          <w:szCs w:val="28"/>
          <w:highlight w:val="none"/>
        </w:rPr>
      </w:pPr>
      <w:r>
        <w:rPr>
          <w:spacing w:val="-1"/>
          <w:sz w:val="28"/>
          <w:szCs w:val="28"/>
          <w:highlight w:val="none"/>
        </w:rPr>
      </w:r>
      <w:r>
        <w:rPr>
          <w:spacing w:val="-1"/>
          <w:sz w:val="28"/>
          <w:szCs w:val="28"/>
          <w:highlight w:val="none"/>
        </w:rPr>
      </w:r>
      <w:r>
        <w:rPr>
          <w:spacing w:val="-1"/>
          <w:sz w:val="28"/>
          <w:szCs w:val="28"/>
          <w:highlight w:val="none"/>
        </w:rPr>
      </w:r>
    </w:p>
    <w:tbl>
      <w:tblPr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3379"/>
        <w:gridCol w:w="3379"/>
        <w:gridCol w:w="337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pStyle w:val="9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Кадастровый номер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pStyle w:val="9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Кадастровая стоимость, руб.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center"/>
            <w:textDirection w:val="lrTb"/>
            <w:noWrap w:val="false"/>
          </w:tcPr>
          <w:p>
            <w:pPr>
              <w:pStyle w:val="9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УПКС, руб./кв.м.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textDirection w:val="lrTb"/>
            <w:noWrap w:val="false"/>
          </w:tcPr>
          <w:p>
            <w:pPr>
              <w:pStyle w:val="9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  <w:t xml:space="preserve">54:13:025315:784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textDirection w:val="lrTb"/>
            <w:noWrap w:val="false"/>
          </w:tcPr>
          <w:p>
            <w:pPr>
              <w:pStyle w:val="9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5688,25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379" w:type="dxa"/>
            <w:vAlign w:val="bottom"/>
            <w:textDirection w:val="lrTb"/>
            <w:noWrap w:val="false"/>
          </w:tcPr>
          <w:p>
            <w:pPr>
              <w:pStyle w:val="9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0,61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</w:tr>
    </w:tbl>
    <w:p>
      <w:pPr>
        <w:pStyle w:val="908"/>
        <w:ind w:firstLine="709"/>
        <w:jc w:val="both"/>
        <w:shd w:val="clear" w:color="auto" w:fill="ffffff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</w:r>
      <w:r>
        <w:rPr>
          <w:spacing w:val="-1"/>
          <w:sz w:val="28"/>
          <w:szCs w:val="28"/>
        </w:rPr>
      </w:r>
      <w:r>
        <w:rPr>
          <w:spacing w:val="-1"/>
          <w:sz w:val="28"/>
          <w:szCs w:val="28"/>
        </w:rPr>
      </w:r>
    </w:p>
    <w:p>
      <w:pPr>
        <w:pStyle w:val="908"/>
        <w:ind w:firstLine="708"/>
        <w:jc w:val="both"/>
        <w:shd w:val="clear" w:color="auto" w:fill="ffffff"/>
        <w:rPr>
          <w:b/>
          <w:spacing w:val="-1"/>
          <w:sz w:val="28"/>
          <w:szCs w:val="28"/>
        </w:rPr>
      </w:pPr>
      <w:r>
        <w:rPr>
          <w:spacing w:val="-1"/>
          <w:sz w:val="28"/>
          <w:szCs w:val="28"/>
        </w:rPr>
        <w:t xml:space="preserve">С</w:t>
      </w:r>
      <w:r>
        <w:rPr>
          <w:spacing w:val="-1"/>
          <w:sz w:val="28"/>
          <w:szCs w:val="28"/>
        </w:rPr>
        <w:t xml:space="preserve">редний уровень кадастровой стоимости земель сельскохозяйственного назначения по Краснозерскому </w:t>
      </w:r>
      <w:r>
        <w:rPr>
          <w:spacing w:val="-1"/>
          <w:sz w:val="28"/>
          <w:szCs w:val="28"/>
        </w:rPr>
        <w:t xml:space="preserve">району</w:t>
      </w:r>
      <w:r>
        <w:rPr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 xml:space="preserve">Н</w:t>
      </w:r>
      <w:r>
        <w:rPr>
          <w:spacing w:val="-1"/>
          <w:sz w:val="28"/>
          <w:szCs w:val="28"/>
        </w:rPr>
        <w:t xml:space="preserve">овосибирской области по сегменту </w:t>
      </w:r>
      <w:r>
        <w:rPr>
          <w:spacing w:val="-1"/>
          <w:sz w:val="28"/>
          <w:szCs w:val="28"/>
        </w:rPr>
        <w:t xml:space="preserve">1</w:t>
      </w:r>
      <w:r>
        <w:rPr>
          <w:spacing w:val="-1"/>
          <w:sz w:val="28"/>
          <w:szCs w:val="28"/>
        </w:rPr>
        <w:t xml:space="preserve"> «</w:t>
      </w:r>
      <w:r>
        <w:rPr>
          <w:spacing w:val="-1"/>
          <w:sz w:val="28"/>
          <w:szCs w:val="28"/>
        </w:rPr>
        <w:t xml:space="preserve">Сельскохозяйственное использование</w:t>
      </w:r>
      <w:r>
        <w:rPr>
          <w:spacing w:val="-1"/>
          <w:sz w:val="28"/>
          <w:szCs w:val="28"/>
        </w:rPr>
        <w:t xml:space="preserve">», установленный приложением 2 к </w:t>
      </w:r>
      <w:r>
        <w:rPr>
          <w:sz w:val="28"/>
          <w:szCs w:val="28"/>
        </w:rPr>
        <w:t xml:space="preserve">приказу</w:t>
      </w:r>
      <w:r>
        <w:rPr>
          <w:sz w:val="28"/>
          <w:szCs w:val="28"/>
        </w:rPr>
        <w:t xml:space="preserve"> департамента имущества и земельных отношений Новосибирской области от</w:t>
      </w:r>
      <w:r>
        <w:rPr>
          <w:sz w:val="28"/>
          <w:szCs w:val="28"/>
        </w:rPr>
        <w:t xml:space="preserve"> </w:t>
      </w:r>
      <w:r>
        <w:rPr>
          <w:sz w:val="28"/>
          <w:szCs w:val="28"/>
        </w:rPr>
        <w:t xml:space="preserve">20.10.2022 № </w:t>
      </w:r>
      <w:r>
        <w:rPr>
          <w:sz w:val="28"/>
          <w:szCs w:val="28"/>
        </w:rPr>
        <w:t xml:space="preserve">3017</w:t>
      </w:r>
      <w:r>
        <w:rPr>
          <w:sz w:val="28"/>
          <w:szCs w:val="28"/>
        </w:rPr>
        <w:t xml:space="preserve"> «Об утверждении результатов определения кадастровой стоимости земельных участков на территории Новосибирской </w:t>
      </w:r>
      <w:r>
        <w:rPr>
          <w:sz w:val="28"/>
          <w:szCs w:val="28"/>
        </w:rPr>
        <w:t xml:space="preserve">области</w:t>
      </w:r>
      <w:r>
        <w:rPr>
          <w:sz w:val="28"/>
          <w:szCs w:val="28"/>
        </w:rPr>
        <w:t xml:space="preserve"> и среднего уровня кадастровой стоимости по муниципальны</w:t>
      </w:r>
      <w:r>
        <w:rPr>
          <w:sz w:val="28"/>
          <w:szCs w:val="28"/>
        </w:rPr>
        <w:t xml:space="preserve">м районам, муниципальным и городским округам</w:t>
      </w:r>
      <w:r>
        <w:rPr>
          <w:sz w:val="28"/>
          <w:szCs w:val="28"/>
        </w:rPr>
        <w:t xml:space="preserve"> Новосибирской области»,</w:t>
      </w:r>
      <w:r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 xml:space="preserve">составляет </w:t>
      </w:r>
      <w:r>
        <w:rPr>
          <w:b/>
          <w:bCs/>
          <w:spacing w:val="-1"/>
          <w:sz w:val="28"/>
          <w:szCs w:val="28"/>
        </w:rPr>
        <w:t xml:space="preserve">1,78</w:t>
      </w:r>
      <w:r>
        <w:rPr>
          <w:b/>
          <w:bCs/>
          <w:spacing w:val="-1"/>
          <w:sz w:val="28"/>
          <w:szCs w:val="28"/>
        </w:rPr>
        <w:t xml:space="preserve"> </w:t>
      </w:r>
      <w:r>
        <w:rPr>
          <w:b/>
          <w:bCs/>
          <w:spacing w:val="-1"/>
          <w:sz w:val="28"/>
          <w:szCs w:val="28"/>
        </w:rPr>
        <w:t xml:space="preserve">р</w:t>
      </w:r>
      <w:r>
        <w:rPr>
          <w:b/>
          <w:spacing w:val="-1"/>
          <w:sz w:val="28"/>
          <w:szCs w:val="28"/>
        </w:rPr>
        <w:t xml:space="preserve">уб/кв.м.</w:t>
      </w:r>
      <w:r>
        <w:rPr>
          <w:b/>
          <w:spacing w:val="-1"/>
          <w:sz w:val="28"/>
          <w:szCs w:val="28"/>
        </w:rPr>
      </w:r>
      <w:r>
        <w:rPr>
          <w:b/>
          <w:spacing w:val="-1"/>
          <w:sz w:val="28"/>
          <w:szCs w:val="28"/>
        </w:rPr>
      </w:r>
    </w:p>
    <w:p>
      <w:pPr>
        <w:pStyle w:val="908"/>
        <w:ind w:left="26" w:right="22" w:firstLine="701"/>
        <w:jc w:val="both"/>
        <w:spacing w:line="320" w:lineRule="exact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На основании вышеизложенного, кадастровая стоимость указанного земельного участка не превышает на пятьдесят и более процентов средний уровень кадастровой стоимости земельных участков по </w:t>
      </w:r>
      <w:r>
        <w:rPr>
          <w:sz w:val="28"/>
          <w:szCs w:val="28"/>
        </w:rPr>
        <w:t xml:space="preserve">Краснозерскому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району 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26" w:right="22" w:firstLine="701"/>
        <w:jc w:val="both"/>
        <w:spacing w:line="320" w:lineRule="exact"/>
        <w:shd w:val="clear" w:color="auto" w:fill="ffffff"/>
        <w:rPr>
          <w:sz w:val="28"/>
          <w:szCs w:val="28"/>
        </w:rPr>
      </w:pPr>
      <w:r>
        <w:rPr>
          <w:sz w:val="28"/>
          <w:szCs w:val="28"/>
          <w:highlight w:val="none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26" w:right="22" w:hanging="26"/>
        <w:jc w:val="both"/>
        <w:spacing w:line="320" w:lineRule="exact"/>
        <w:shd w:val="clear" w:color="auto" w:fill="ffffff"/>
        <w:rPr>
          <w:sz w:val="28"/>
          <w:szCs w:val="28"/>
          <w:highlight w:val="none"/>
        </w:rPr>
      </w:pPr>
      <w:r>
        <w:rPr>
          <w:sz w:val="28"/>
          <w:szCs w:val="28"/>
        </w:rPr>
        <w:t xml:space="preserve">Новосибирской области. В соответствии со статьей 7 Закона № 172-ФЗ перевод данного земельного участка допускается.</w:t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pStyle w:val="908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Содержание ходатайства и прилагаемого к нему пакета документов соответствует требованиям, установленным </w:t>
      </w:r>
      <w:r>
        <w:rPr>
          <w:sz w:val="28"/>
          <w:szCs w:val="28"/>
        </w:rPr>
        <w:t xml:space="preserve">Законом № 172-ФЗ</w:t>
      </w:r>
      <w:r>
        <w:rPr>
          <w:sz w:val="28"/>
          <w:szCs w:val="28"/>
        </w:rPr>
        <w:t xml:space="preserve">. Следовательно, оснований для отказа в переводе данного земельного участка не имеется.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08"/>
        <w:ind w:right="-2" w:firstLine="720"/>
        <w:jc w:val="both"/>
        <w:rPr>
          <w:sz w:val="28"/>
          <w:szCs w:val="28"/>
        </w:rPr>
      </w:pPr>
      <w:r>
        <w:rPr>
          <w:sz w:val="28"/>
          <w:szCs w:val="28"/>
          <w:lang w:val="en-US" w:eastAsia="en-US"/>
        </w:rPr>
      </w:r>
      <w:r>
        <w:rPr>
          <w:rFonts w:ascii="Times New Roman" w:hAnsi="Times New Roman"/>
          <w:sz w:val="28"/>
          <w:szCs w:val="28"/>
        </w:rPr>
        <w:t xml:space="preserve">Проект закона не подлежит оценке регулирующего воздействия в связи с</w:t>
      </w:r>
      <w:r>
        <w:rPr>
          <w:sz w:val="28"/>
          <w:szCs w:val="28"/>
        </w:rPr>
        <w:t xml:space="preserve"> </w:t>
      </w:r>
      <w:r>
        <w:rPr>
          <w:rFonts w:ascii="Times New Roman" w:hAnsi="Times New Roman"/>
          <w:sz w:val="28"/>
          <w:szCs w:val="28"/>
        </w:rPr>
        <w:t xml:space="preserve">тем,</w:t>
      </w:r>
      <w:r>
        <w:rPr>
          <w:rFonts w:ascii="Times New Roman" w:hAnsi="Times New Roman"/>
          <w:spacing w:val="-5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что</w:t>
      </w:r>
      <w:r>
        <w:rPr>
          <w:rFonts w:ascii="Times New Roman" w:hAnsi="Times New Roman"/>
          <w:spacing w:val="-15"/>
          <w:sz w:val="28"/>
          <w:szCs w:val="28"/>
        </w:rPr>
        <w:t xml:space="preserve"> н</w:t>
      </w:r>
      <w:r>
        <w:rPr>
          <w:rFonts w:ascii="Times New Roman" w:hAnsi="Times New Roman"/>
          <w:sz w:val="28"/>
          <w:szCs w:val="28"/>
        </w:rPr>
        <w:t xml:space="preserve">е содержит положений, устанавливающих</w:t>
      </w:r>
      <w:r>
        <w:rPr>
          <w:rFonts w:ascii="Times New Roman" w:hAnsi="Times New Roman"/>
          <w:spacing w:val="-16"/>
          <w:sz w:val="28"/>
          <w:szCs w:val="28"/>
        </w:rPr>
        <w:t xml:space="preserve"> новы</w:t>
      </w:r>
      <w:r>
        <w:rPr>
          <w:rFonts w:ascii="Times New Roman" w:hAnsi="Times New Roman"/>
          <w:sz w:val="28"/>
          <w:szCs w:val="28"/>
        </w:rPr>
        <w:t xml:space="preserve">е или</w:t>
      </w:r>
      <w:r>
        <w:rPr>
          <w:rFonts w:ascii="Times New Roman" w:hAnsi="Times New Roman"/>
          <w:spacing w:val="4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изменяющих ранее п</w:t>
      </w:r>
      <w:r>
        <w:rPr>
          <w:rFonts w:ascii="Times New Roman" w:hAnsi="Times New Roman"/>
          <w:sz w:val="28"/>
          <w:szCs w:val="28"/>
        </w:rPr>
        <w:t xml:space="preserve">редусмотренные нормативными правовыми актами обязательные требования, связанные с осуществлением предпринимательской и иной экономической </w:t>
      </w:r>
      <w:r>
        <w:rPr>
          <w:rFonts w:ascii="Times New Roman" w:hAnsi="Times New Roman"/>
          <w:sz w:val="28"/>
          <w:szCs w:val="28"/>
        </w:rPr>
        <w:t xml:space="preserve">деятельности, оценка соблюдения которых осуществляется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 w:val="0"/>
          <w:iCs w:val="0"/>
          <w:sz w:val="28"/>
          <w:szCs w:val="28"/>
        </w:rPr>
        <w:t xml:space="preserve">в</w:t>
      </w:r>
      <w:r>
        <w:rPr>
          <w:sz w:val="28"/>
          <w:szCs w:val="28"/>
        </w:rPr>
        <w:t xml:space="preserve"> </w:t>
      </w:r>
      <w:r>
        <w:rPr>
          <w:rFonts w:ascii="Times New Roman" w:hAnsi="Times New Roman"/>
          <w:sz w:val="28"/>
          <w:szCs w:val="28"/>
        </w:rPr>
        <w:t xml:space="preserve">рамках </w:t>
      </w:r>
      <w:r>
        <w:rPr>
          <w:rFonts w:ascii="Times New Roman" w:hAnsi="Times New Roman"/>
          <w:sz w:val="28"/>
          <w:szCs w:val="28"/>
        </w:rPr>
        <w:t xml:space="preserve">гoсyдapcтвeнногo контроля (надзора), привлечения к административной ответственности, предоставления лицензий и иных разрешений, аккредитации,</w:t>
      </w:r>
      <w:r>
        <w:rPr>
          <w:rFonts w:ascii="Times New Roman" w:hAnsi="Times New Roman"/>
          <w:spacing w:val="4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оценки</w:t>
      </w:r>
      <w:r>
        <w:rPr>
          <w:rFonts w:ascii="Times New Roman" w:hAnsi="Times New Roman"/>
          <w:spacing w:val="-17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соответствия продукции, иных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форм</w:t>
      </w:r>
      <w:r>
        <w:rPr>
          <w:rFonts w:ascii="Times New Roman" w:hAnsi="Times New Roman"/>
          <w:spacing w:val="-16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оценок</w:t>
      </w:r>
      <w:r>
        <w:rPr>
          <w:rFonts w:ascii="Times New Roman" w:hAnsi="Times New Roman"/>
          <w:spacing w:val="-2"/>
          <w:sz w:val="28"/>
          <w:szCs w:val="28"/>
        </w:rPr>
        <w:t xml:space="preserve"> и</w:t>
      </w:r>
      <w:r>
        <w:rPr>
          <w:rFonts w:ascii="Times New Roman" w:hAnsi="Times New Roman"/>
          <w:spacing w:val="-3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экспертиз,</w:t>
      </w:r>
      <w:r>
        <w:rPr>
          <w:rFonts w:ascii="Times New Roman" w:hAnsi="Times New Roman"/>
          <w:spacing w:val="-11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устанавливающих </w:t>
      </w:r>
      <w:r>
        <w:rPr>
          <w:rFonts w:ascii="Times New Roman" w:hAnsi="Times New Roman"/>
          <w:sz w:val="28"/>
          <w:szCs w:val="28"/>
        </w:rPr>
        <w:t xml:space="preserve">новые или изменяющих ранее предусмотренные </w:t>
      </w:r>
      <w:r>
        <w:rPr>
          <w:rFonts w:ascii="Times New Roman" w:hAnsi="Times New Roman"/>
          <w:sz w:val="28"/>
          <w:szCs w:val="28"/>
        </w:rPr>
        <w:t xml:space="preserve">нормативными правовыми актами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обязанности и запреты для субъектов </w:t>
      </w:r>
      <w:r>
        <w:rPr>
          <w:rFonts w:ascii="Times New Roman" w:hAnsi="Times New Roman"/>
          <w:sz w:val="28"/>
          <w:szCs w:val="28"/>
        </w:rPr>
        <w:t xml:space="preserve">предпринимательской</w:t>
      </w:r>
      <w:r>
        <w:rPr>
          <w:rFonts w:ascii="Times New Roman" w:hAnsi="Times New Roman"/>
          <w:sz w:val="28"/>
          <w:szCs w:val="28"/>
        </w:rPr>
        <w:t xml:space="preserve"> и инвестиционной деятельности, а также </w:t>
      </w:r>
      <w:r>
        <w:rPr>
          <w:rFonts w:ascii="Times New Roman" w:hAnsi="Times New Roman"/>
          <w:sz w:val="28"/>
          <w:szCs w:val="28"/>
        </w:rPr>
        <w:t xml:space="preserve">устанавливающих </w:t>
      </w:r>
      <w:r>
        <w:rPr>
          <w:rFonts w:ascii="Times New Roman" w:hAnsi="Times New Roman"/>
          <w:sz w:val="28"/>
          <w:szCs w:val="28"/>
        </w:rPr>
        <w:t xml:space="preserve">или изменяющих</w:t>
      </w:r>
      <w:r>
        <w:rPr>
          <w:rFonts w:ascii="Times New Roman" w:hAnsi="Times New Roman"/>
          <w:sz w:val="28"/>
          <w:szCs w:val="28"/>
        </w:rPr>
        <w:t xml:space="preserve"> ответственность за нарушение нормативных правовых актов, затрагивающих вопросы осуществления </w:t>
      </w:r>
      <w:r>
        <w:rPr>
          <w:rFonts w:ascii="Times New Roman" w:hAnsi="Times New Roman"/>
          <w:sz w:val="28"/>
          <w:szCs w:val="28"/>
        </w:rPr>
        <w:t xml:space="preserve">предпринимательской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иной экономической </w:t>
      </w:r>
      <w:r>
        <w:rPr>
          <w:rFonts w:ascii="Times New Roman" w:hAnsi="Times New Roman"/>
          <w:sz w:val="28"/>
          <w:szCs w:val="28"/>
        </w:rPr>
        <w:t xml:space="preserve">деятельности</w:t>
      </w:r>
      <w:r>
        <w:rPr>
          <w:rFonts w:ascii="Times New Roman" w:hAnsi="Times New Roman"/>
          <w:sz w:val="28"/>
          <w:szCs w:val="28"/>
        </w:rPr>
        <w:t xml:space="preserve">.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08"/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08"/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pStyle w:val="917"/>
        <w:rPr>
          <w:sz w:val="28"/>
          <w:szCs w:val="28"/>
        </w:rPr>
      </w:pPr>
      <w:r>
        <w:rPr>
          <w:sz w:val="28"/>
          <w:szCs w:val="28"/>
        </w:rPr>
        <w:t xml:space="preserve">Руководитель</w:t>
      </w:r>
      <w:r>
        <w:rPr>
          <w:sz w:val="28"/>
          <w:szCs w:val="28"/>
        </w:rPr>
        <w:t xml:space="preserve"> департамента</w:t>
      </w:r>
      <w:r>
        <w:rPr>
          <w:sz w:val="28"/>
          <w:szCs w:val="28"/>
        </w:rPr>
        <w:t xml:space="preserve">                              </w:t>
      </w:r>
      <w:r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</w:t>
      </w:r>
      <w:r>
        <w:rPr>
          <w:sz w:val="28"/>
          <w:szCs w:val="28"/>
        </w:rPr>
        <w:t xml:space="preserve">Р.Г. Шилохвостов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-711"/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sectPr>
      <w:headerReference w:type="default" r:id="rId9"/>
      <w:headerReference w:type="even" r:id="rId10"/>
      <w:headerReference w:type="first" r:id="rId11"/>
      <w:footerReference w:type="default" r:id="rId12"/>
      <w:footerReference w:type="first" r:id="rId13"/>
      <w:footnotePr/>
      <w:endnotePr/>
      <w:type w:val="nextPage"/>
      <w:pgSz w:w="11906" w:h="16838" w:orient="portrait"/>
      <w:pgMar w:top="560" w:right="567" w:bottom="404" w:left="1418" w:header="284" w:footer="174" w:gutter="0"/>
      <w:cols w:num="1" w:sep="0" w:space="708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</w:font>
  <w:font w:name="Times New Roman">
    <w:panose1 w:val="02020603050405020304"/>
  </w:font>
  <w:font w:name="Courier New">
    <w:panose1 w:val="02070309020205020404"/>
  </w:font>
  <w:font w:name="Tahoma">
    <w:panose1 w:val="020B0604030504040204"/>
  </w:font>
  <w:font w:name="Arial">
    <w:panose1 w:val="020B060402020202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60"/>
    </w:pPr>
    <w:r/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58"/>
      <w:jc w:val="center"/>
    </w:pPr>
    <w:fldSimple w:instr="PAGE \* MERGEFORMAT">
      <w:r>
        <w:t xml:space="preserve">1</w:t>
      </w:r>
    </w:fldSimple>
    <w:r/>
    <w:r/>
  </w:p>
  <w:p>
    <w:pPr>
      <w:pStyle w:val="758"/>
    </w:pPr>
    <w:r/>
    <w:r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16"/>
      <w:rPr>
        <w:rStyle w:val="918"/>
      </w:rPr>
      <w:framePr w:wrap="around" w:vAnchor="text" w:hAnchor="margin" w:xAlign="center" w:y="1"/>
    </w:pPr>
    <w:r>
      <w:rPr>
        <w:rStyle w:val="918"/>
      </w:rPr>
      <w:fldChar w:fldCharType="begin"/>
    </w:r>
    <w:r>
      <w:rPr>
        <w:rStyle w:val="918"/>
      </w:rPr>
      <w:instrText xml:space="preserve">PAGE  </w:instrText>
    </w:r>
    <w:r>
      <w:rPr>
        <w:rStyle w:val="918"/>
      </w:rPr>
      <w:fldChar w:fldCharType="separate"/>
    </w:r>
    <w:r>
      <w:rPr>
        <w:rStyle w:val="918"/>
      </w:rPr>
      <w:t xml:space="preserve">1</w:t>
    </w:r>
    <w:r>
      <w:rPr>
        <w:rStyle w:val="918"/>
      </w:rPr>
      <w:fldChar w:fldCharType="end"/>
    </w:r>
    <w:r>
      <w:rPr>
        <w:rStyle w:val="918"/>
      </w:rPr>
    </w:r>
    <w:r>
      <w:rPr>
        <w:rStyle w:val="918"/>
      </w:rPr>
    </w:r>
  </w:p>
  <w:p>
    <w:pPr>
      <w:pStyle w:val="916"/>
      <w:ind w:right="360"/>
    </w:pPr>
    <w:r/>
    <w:r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58"/>
    </w:pPr>
    <w:r>
      <w:rPr>
        <w:rFonts w:eastAsia="Calibri"/>
        <w:sz w:val="20"/>
        <w:szCs w:val="20"/>
      </w:rPr>
    </w:r>
    <w:r>
      <w:rPr>
        <w:rFonts w:eastAsia="Calibri"/>
        <w:sz w:val="20"/>
        <w:szCs w:val="20"/>
      </w:rPr>
    </w:r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06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8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</w:lvl>
  </w:abstractNum>
  <w:abstractNum w:abstractNumId="2">
    <w:multiLevelType w:val="hybridMultilevel"/>
    <w:lvl w:ilvl="0">
      <w:start w:val="0"/>
      <w:numFmt w:val="bullet"/>
      <w:isLgl w:val="false"/>
      <w:suff w:val="tab"/>
      <w:lvlText w:val="-"/>
      <w:lvlJc w:val="left"/>
      <w:pPr>
        <w:ind w:left="144" w:hanging="164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>
      <w:start w:val="0"/>
      <w:numFmt w:val="bullet"/>
      <w:isLgl w:val="false"/>
      <w:suff w:val="tab"/>
      <w:lvlText w:val="•"/>
      <w:lvlJc w:val="left"/>
      <w:pPr>
        <w:ind w:left="1089" w:hanging="164"/>
      </w:pPr>
      <w:rPr>
        <w:rFonts w:hint="default"/>
        <w:lang w:val="ru-RU" w:eastAsia="en-US" w:bidi="ar-SA"/>
      </w:rPr>
    </w:lvl>
    <w:lvl w:ilvl="2">
      <w:start w:val="0"/>
      <w:numFmt w:val="bullet"/>
      <w:isLgl w:val="false"/>
      <w:suff w:val="tab"/>
      <w:lvlText w:val="•"/>
      <w:lvlJc w:val="left"/>
      <w:pPr>
        <w:ind w:left="2039" w:hanging="164"/>
      </w:pPr>
      <w:rPr>
        <w:rFonts w:hint="default"/>
        <w:lang w:val="ru-RU" w:eastAsia="en-US" w:bidi="ar-SA"/>
      </w:rPr>
    </w:lvl>
    <w:lvl w:ilvl="3">
      <w:start w:val="0"/>
      <w:numFmt w:val="bullet"/>
      <w:isLgl w:val="false"/>
      <w:suff w:val="tab"/>
      <w:lvlText w:val="•"/>
      <w:lvlJc w:val="left"/>
      <w:pPr>
        <w:ind w:left="2989" w:hanging="164"/>
      </w:pPr>
      <w:rPr>
        <w:rFonts w:hint="default"/>
        <w:lang w:val="ru-RU" w:eastAsia="en-US" w:bidi="ar-SA"/>
      </w:rPr>
    </w:lvl>
    <w:lvl w:ilvl="4">
      <w:start w:val="0"/>
      <w:numFmt w:val="bullet"/>
      <w:isLgl w:val="false"/>
      <w:suff w:val="tab"/>
      <w:lvlText w:val="•"/>
      <w:lvlJc w:val="left"/>
      <w:pPr>
        <w:ind w:left="3939" w:hanging="164"/>
      </w:pPr>
      <w:rPr>
        <w:rFonts w:hint="default"/>
        <w:lang w:val="ru-RU" w:eastAsia="en-US" w:bidi="ar-SA"/>
      </w:rPr>
    </w:lvl>
    <w:lvl w:ilvl="5">
      <w:start w:val="0"/>
      <w:numFmt w:val="bullet"/>
      <w:isLgl w:val="false"/>
      <w:suff w:val="tab"/>
      <w:lvlText w:val="•"/>
      <w:lvlJc w:val="left"/>
      <w:pPr>
        <w:ind w:left="4889" w:hanging="164"/>
      </w:pPr>
      <w:rPr>
        <w:rFonts w:hint="default"/>
        <w:lang w:val="ru-RU" w:eastAsia="en-US" w:bidi="ar-SA"/>
      </w:rPr>
    </w:lvl>
    <w:lvl w:ilvl="6">
      <w:start w:val="0"/>
      <w:numFmt w:val="bullet"/>
      <w:isLgl w:val="false"/>
      <w:suff w:val="tab"/>
      <w:lvlText w:val="•"/>
      <w:lvlJc w:val="left"/>
      <w:pPr>
        <w:ind w:left="5839" w:hanging="164"/>
      </w:pPr>
      <w:rPr>
        <w:rFonts w:hint="default"/>
        <w:lang w:val="ru-RU" w:eastAsia="en-US" w:bidi="ar-SA"/>
      </w:rPr>
    </w:lvl>
    <w:lvl w:ilvl="7">
      <w:start w:val="0"/>
      <w:numFmt w:val="bullet"/>
      <w:isLgl w:val="false"/>
      <w:suff w:val="tab"/>
      <w:lvlText w:val="•"/>
      <w:lvlJc w:val="left"/>
      <w:pPr>
        <w:ind w:left="6789" w:hanging="164"/>
      </w:pPr>
      <w:rPr>
        <w:rFonts w:hint="default"/>
        <w:lang w:val="ru-RU" w:eastAsia="en-US" w:bidi="ar-SA"/>
      </w:rPr>
    </w:lvl>
    <w:lvl w:ilvl="8">
      <w:start w:val="0"/>
      <w:numFmt w:val="bullet"/>
      <w:isLgl w:val="false"/>
      <w:suff w:val="tab"/>
      <w:lvlText w:val="•"/>
      <w:lvlJc w:val="left"/>
      <w:pPr>
        <w:ind w:left="7739" w:hanging="164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zh-CN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730">
    <w:name w:val="Heading 1"/>
    <w:basedOn w:val="908"/>
    <w:next w:val="908"/>
    <w:link w:val="731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731">
    <w:name w:val="Heading 1 Char"/>
    <w:link w:val="730"/>
    <w:uiPriority w:val="9"/>
    <w:rPr>
      <w:rFonts w:ascii="Arial" w:hAnsi="Arial" w:eastAsia="Arial" w:cs="Arial"/>
      <w:sz w:val="40"/>
      <w:szCs w:val="40"/>
    </w:rPr>
  </w:style>
  <w:style w:type="paragraph" w:styleId="732">
    <w:name w:val="Heading 2"/>
    <w:basedOn w:val="908"/>
    <w:next w:val="908"/>
    <w:link w:val="733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733">
    <w:name w:val="Heading 2 Char"/>
    <w:link w:val="732"/>
    <w:uiPriority w:val="9"/>
    <w:rPr>
      <w:rFonts w:ascii="Arial" w:hAnsi="Arial" w:eastAsia="Arial" w:cs="Arial"/>
      <w:sz w:val="34"/>
    </w:rPr>
  </w:style>
  <w:style w:type="paragraph" w:styleId="734">
    <w:name w:val="Heading 3"/>
    <w:basedOn w:val="908"/>
    <w:next w:val="908"/>
    <w:link w:val="735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735">
    <w:name w:val="Heading 3 Char"/>
    <w:link w:val="734"/>
    <w:uiPriority w:val="9"/>
    <w:rPr>
      <w:rFonts w:ascii="Arial" w:hAnsi="Arial" w:eastAsia="Arial" w:cs="Arial"/>
      <w:sz w:val="30"/>
      <w:szCs w:val="30"/>
    </w:rPr>
  </w:style>
  <w:style w:type="paragraph" w:styleId="736">
    <w:name w:val="Heading 4"/>
    <w:basedOn w:val="908"/>
    <w:next w:val="908"/>
    <w:link w:val="737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737">
    <w:name w:val="Heading 4 Char"/>
    <w:link w:val="736"/>
    <w:uiPriority w:val="9"/>
    <w:rPr>
      <w:rFonts w:ascii="Arial" w:hAnsi="Arial" w:eastAsia="Arial" w:cs="Arial"/>
      <w:b/>
      <w:bCs/>
      <w:sz w:val="26"/>
      <w:szCs w:val="26"/>
    </w:rPr>
  </w:style>
  <w:style w:type="paragraph" w:styleId="738">
    <w:name w:val="Heading 5"/>
    <w:basedOn w:val="908"/>
    <w:next w:val="908"/>
    <w:link w:val="739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739">
    <w:name w:val="Heading 5 Char"/>
    <w:link w:val="738"/>
    <w:uiPriority w:val="9"/>
    <w:rPr>
      <w:rFonts w:ascii="Arial" w:hAnsi="Arial" w:eastAsia="Arial" w:cs="Arial"/>
      <w:b/>
      <w:bCs/>
      <w:sz w:val="24"/>
      <w:szCs w:val="24"/>
    </w:rPr>
  </w:style>
  <w:style w:type="paragraph" w:styleId="740">
    <w:name w:val="Heading 6"/>
    <w:basedOn w:val="908"/>
    <w:next w:val="908"/>
    <w:link w:val="741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741">
    <w:name w:val="Heading 6 Char"/>
    <w:link w:val="740"/>
    <w:uiPriority w:val="9"/>
    <w:rPr>
      <w:rFonts w:ascii="Arial" w:hAnsi="Arial" w:eastAsia="Arial" w:cs="Arial"/>
      <w:b/>
      <w:bCs/>
      <w:sz w:val="22"/>
      <w:szCs w:val="22"/>
    </w:rPr>
  </w:style>
  <w:style w:type="paragraph" w:styleId="742">
    <w:name w:val="Heading 7"/>
    <w:basedOn w:val="908"/>
    <w:next w:val="908"/>
    <w:link w:val="743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743">
    <w:name w:val="Heading 7 Char"/>
    <w:link w:val="742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744">
    <w:name w:val="Heading 8"/>
    <w:basedOn w:val="908"/>
    <w:next w:val="908"/>
    <w:link w:val="745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745">
    <w:name w:val="Heading 8 Char"/>
    <w:link w:val="744"/>
    <w:uiPriority w:val="9"/>
    <w:rPr>
      <w:rFonts w:ascii="Arial" w:hAnsi="Arial" w:eastAsia="Arial" w:cs="Arial"/>
      <w:i/>
      <w:iCs/>
      <w:sz w:val="22"/>
      <w:szCs w:val="22"/>
    </w:rPr>
  </w:style>
  <w:style w:type="paragraph" w:styleId="746">
    <w:name w:val="Heading 9"/>
    <w:basedOn w:val="908"/>
    <w:next w:val="908"/>
    <w:link w:val="747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47">
    <w:name w:val="Heading 9 Char"/>
    <w:link w:val="746"/>
    <w:uiPriority w:val="9"/>
    <w:rPr>
      <w:rFonts w:ascii="Arial" w:hAnsi="Arial" w:eastAsia="Arial" w:cs="Arial"/>
      <w:i/>
      <w:iCs/>
      <w:sz w:val="21"/>
      <w:szCs w:val="21"/>
    </w:rPr>
  </w:style>
  <w:style w:type="paragraph" w:styleId="748">
    <w:name w:val="List Paragraph"/>
    <w:basedOn w:val="908"/>
    <w:uiPriority w:val="34"/>
    <w:qFormat/>
    <w:pPr>
      <w:contextualSpacing/>
      <w:ind w:left="720"/>
    </w:pPr>
  </w:style>
  <w:style w:type="paragraph" w:styleId="749">
    <w:name w:val="No Spacing"/>
    <w:uiPriority w:val="1"/>
    <w:qFormat/>
    <w:pPr>
      <w:spacing w:before="0" w:after="0" w:line="240" w:lineRule="auto"/>
    </w:pPr>
  </w:style>
  <w:style w:type="paragraph" w:styleId="750">
    <w:name w:val="Title"/>
    <w:basedOn w:val="908"/>
    <w:next w:val="908"/>
    <w:link w:val="751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751">
    <w:name w:val="Title Char"/>
    <w:link w:val="750"/>
    <w:uiPriority w:val="10"/>
    <w:rPr>
      <w:sz w:val="48"/>
      <w:szCs w:val="48"/>
    </w:rPr>
  </w:style>
  <w:style w:type="paragraph" w:styleId="752">
    <w:name w:val="Subtitle"/>
    <w:basedOn w:val="908"/>
    <w:next w:val="908"/>
    <w:link w:val="753"/>
    <w:uiPriority w:val="11"/>
    <w:qFormat/>
    <w:pPr>
      <w:spacing w:before="200" w:after="200"/>
    </w:pPr>
    <w:rPr>
      <w:sz w:val="24"/>
      <w:szCs w:val="24"/>
    </w:rPr>
  </w:style>
  <w:style w:type="character" w:styleId="753">
    <w:name w:val="Subtitle Char"/>
    <w:link w:val="752"/>
    <w:uiPriority w:val="11"/>
    <w:rPr>
      <w:sz w:val="24"/>
      <w:szCs w:val="24"/>
    </w:rPr>
  </w:style>
  <w:style w:type="paragraph" w:styleId="754">
    <w:name w:val="Quote"/>
    <w:basedOn w:val="908"/>
    <w:next w:val="908"/>
    <w:link w:val="755"/>
    <w:uiPriority w:val="29"/>
    <w:qFormat/>
    <w:pPr>
      <w:ind w:left="720" w:right="720"/>
    </w:pPr>
    <w:rPr>
      <w:i/>
    </w:rPr>
  </w:style>
  <w:style w:type="character" w:styleId="755">
    <w:name w:val="Quote Char"/>
    <w:link w:val="754"/>
    <w:uiPriority w:val="29"/>
    <w:rPr>
      <w:i/>
    </w:rPr>
  </w:style>
  <w:style w:type="paragraph" w:styleId="756">
    <w:name w:val="Intense Quote"/>
    <w:basedOn w:val="908"/>
    <w:next w:val="908"/>
    <w:link w:val="757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57">
    <w:name w:val="Intense Quote Char"/>
    <w:link w:val="756"/>
    <w:uiPriority w:val="30"/>
    <w:rPr>
      <w:i/>
    </w:rPr>
  </w:style>
  <w:style w:type="paragraph" w:styleId="758">
    <w:name w:val="Header"/>
    <w:basedOn w:val="908"/>
    <w:link w:val="759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759">
    <w:name w:val="Header Char"/>
    <w:link w:val="758"/>
    <w:uiPriority w:val="99"/>
  </w:style>
  <w:style w:type="paragraph" w:styleId="760">
    <w:name w:val="Footer"/>
    <w:basedOn w:val="908"/>
    <w:link w:val="76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761">
    <w:name w:val="Footer Char"/>
    <w:link w:val="760"/>
    <w:uiPriority w:val="99"/>
  </w:style>
  <w:style w:type="paragraph" w:styleId="762">
    <w:name w:val="Caption"/>
    <w:basedOn w:val="908"/>
    <w:next w:val="908"/>
    <w:link w:val="763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63">
    <w:name w:val="Caption Char"/>
    <w:basedOn w:val="762"/>
    <w:link w:val="760"/>
    <w:uiPriority w:val="99"/>
  </w:style>
  <w:style w:type="table" w:styleId="764">
    <w:name w:val="Table Grid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5">
    <w:name w:val="Table Grid Light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66">
    <w:name w:val="Plain Table 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67">
    <w:name w:val="Plain Table 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68">
    <w:name w:val="Plain Table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69">
    <w:name w:val="Plain Table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>
    <w:name w:val="Plain Table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71">
    <w:name w:val="Grid Table 1 Light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2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3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4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5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6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7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8">
    <w:name w:val="Grid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9">
    <w:name w:val="Grid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0">
    <w:name w:val="Grid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1">
    <w:name w:val="Grid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2">
    <w:name w:val="Grid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>
    <w:name w:val="Grid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>
    <w:name w:val="Grid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>
    <w:name w:val="Grid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7">
    <w:name w:val="Grid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>
    <w:name w:val="Grid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>
    <w:name w:val="Grid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>
    <w:name w:val="Grid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>
    <w:name w:val="Grid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>
    <w:name w:val="Grid Table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93">
    <w:name w:val="Grid Table 4 - Accent 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94">
    <w:name w:val="Grid Table 4 - Accent 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5">
    <w:name w:val="Grid Table 4 - Accent 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96">
    <w:name w:val="Grid Table 4 - Accent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97">
    <w:name w:val="Grid Table 4 - Accent 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98">
    <w:name w:val="Grid Table 4 - Accent 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99">
    <w:name w:val="Grid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00">
    <w:name w:val="Grid Table 5 Dark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01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02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03">
    <w:name w:val="Grid Table 5 Dark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04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05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806">
    <w:name w:val="Grid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807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808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809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810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811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12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13">
    <w:name w:val="Grid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4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5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6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7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8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9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0">
    <w:name w:val="List Table 1 Light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1">
    <w:name w:val="List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2">
    <w:name w:val="List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3">
    <w:name w:val="List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4">
    <w:name w:val="List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5">
    <w:name w:val="List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6">
    <w:name w:val="List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7">
    <w:name w:val="List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828">
    <w:name w:val="List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829">
    <w:name w:val="List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830">
    <w:name w:val="List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831">
    <w:name w:val="List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832">
    <w:name w:val="List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833">
    <w:name w:val="List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834">
    <w:name w:val="List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5">
    <w:name w:val="List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6">
    <w:name w:val="List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7">
    <w:name w:val="List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8">
    <w:name w:val="List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9">
    <w:name w:val="List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0">
    <w:name w:val="List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1">
    <w:name w:val="List Table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2">
    <w:name w:val="List Table 4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3">
    <w:name w:val="List Table 4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4">
    <w:name w:val="List Table 4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5">
    <w:name w:val="List Table 4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6">
    <w:name w:val="List Table 4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7">
    <w:name w:val="List Table 4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8">
    <w:name w:val="List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49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0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1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2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3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4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855">
    <w:name w:val="List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856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57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858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859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860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861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862">
    <w:name w:val="List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863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864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865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866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867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868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869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70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71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72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73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74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75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76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77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878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879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880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881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882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883">
    <w:name w:val="Bordered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84">
    <w:name w:val="Bordered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85">
    <w:name w:val="Bordered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86">
    <w:name w:val="Bordered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87">
    <w:name w:val="Bordered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88">
    <w:name w:val="Bordered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89">
    <w:name w:val="Bordered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90">
    <w:name w:val="Hyperlink"/>
    <w:uiPriority w:val="99"/>
    <w:unhideWhenUsed/>
    <w:rPr>
      <w:color w:val="0000ff" w:themeColor="hyperlink"/>
      <w:u w:val="single"/>
    </w:rPr>
  </w:style>
  <w:style w:type="paragraph" w:styleId="891">
    <w:name w:val="footnote text"/>
    <w:basedOn w:val="908"/>
    <w:link w:val="892"/>
    <w:uiPriority w:val="99"/>
    <w:semiHidden/>
    <w:unhideWhenUsed/>
    <w:pPr>
      <w:spacing w:after="40" w:line="240" w:lineRule="auto"/>
    </w:pPr>
    <w:rPr>
      <w:sz w:val="18"/>
    </w:rPr>
  </w:style>
  <w:style w:type="character" w:styleId="892">
    <w:name w:val="Footnote Text Char"/>
    <w:link w:val="891"/>
    <w:uiPriority w:val="99"/>
    <w:rPr>
      <w:sz w:val="18"/>
    </w:rPr>
  </w:style>
  <w:style w:type="character" w:styleId="893">
    <w:name w:val="footnote reference"/>
    <w:uiPriority w:val="99"/>
    <w:unhideWhenUsed/>
    <w:rPr>
      <w:vertAlign w:val="superscript"/>
    </w:rPr>
  </w:style>
  <w:style w:type="paragraph" w:styleId="894">
    <w:name w:val="endnote text"/>
    <w:basedOn w:val="908"/>
    <w:link w:val="895"/>
    <w:uiPriority w:val="99"/>
    <w:semiHidden/>
    <w:unhideWhenUsed/>
    <w:pPr>
      <w:spacing w:after="0" w:line="240" w:lineRule="auto"/>
    </w:pPr>
    <w:rPr>
      <w:sz w:val="20"/>
    </w:rPr>
  </w:style>
  <w:style w:type="character" w:styleId="895">
    <w:name w:val="Endnote Text Char"/>
    <w:link w:val="894"/>
    <w:uiPriority w:val="99"/>
    <w:rPr>
      <w:sz w:val="20"/>
    </w:rPr>
  </w:style>
  <w:style w:type="character" w:styleId="896">
    <w:name w:val="endnote reference"/>
    <w:uiPriority w:val="99"/>
    <w:semiHidden/>
    <w:unhideWhenUsed/>
    <w:rPr>
      <w:vertAlign w:val="superscript"/>
    </w:rPr>
  </w:style>
  <w:style w:type="paragraph" w:styleId="897">
    <w:name w:val="toc 1"/>
    <w:basedOn w:val="908"/>
    <w:next w:val="908"/>
    <w:uiPriority w:val="39"/>
    <w:unhideWhenUsed/>
    <w:pPr>
      <w:ind w:left="0" w:right="0" w:firstLine="0"/>
      <w:spacing w:after="57"/>
    </w:pPr>
  </w:style>
  <w:style w:type="paragraph" w:styleId="898">
    <w:name w:val="toc 2"/>
    <w:basedOn w:val="908"/>
    <w:next w:val="908"/>
    <w:uiPriority w:val="39"/>
    <w:unhideWhenUsed/>
    <w:pPr>
      <w:ind w:left="283" w:right="0" w:firstLine="0"/>
      <w:spacing w:after="57"/>
    </w:pPr>
  </w:style>
  <w:style w:type="paragraph" w:styleId="899">
    <w:name w:val="toc 3"/>
    <w:basedOn w:val="908"/>
    <w:next w:val="908"/>
    <w:uiPriority w:val="39"/>
    <w:unhideWhenUsed/>
    <w:pPr>
      <w:ind w:left="567" w:right="0" w:firstLine="0"/>
      <w:spacing w:after="57"/>
    </w:pPr>
  </w:style>
  <w:style w:type="paragraph" w:styleId="900">
    <w:name w:val="toc 4"/>
    <w:basedOn w:val="908"/>
    <w:next w:val="908"/>
    <w:uiPriority w:val="39"/>
    <w:unhideWhenUsed/>
    <w:pPr>
      <w:ind w:left="850" w:right="0" w:firstLine="0"/>
      <w:spacing w:after="57"/>
    </w:pPr>
  </w:style>
  <w:style w:type="paragraph" w:styleId="901">
    <w:name w:val="toc 5"/>
    <w:basedOn w:val="908"/>
    <w:next w:val="908"/>
    <w:uiPriority w:val="39"/>
    <w:unhideWhenUsed/>
    <w:pPr>
      <w:ind w:left="1134" w:right="0" w:firstLine="0"/>
      <w:spacing w:after="57"/>
    </w:pPr>
  </w:style>
  <w:style w:type="paragraph" w:styleId="902">
    <w:name w:val="toc 6"/>
    <w:basedOn w:val="908"/>
    <w:next w:val="908"/>
    <w:uiPriority w:val="39"/>
    <w:unhideWhenUsed/>
    <w:pPr>
      <w:ind w:left="1417" w:right="0" w:firstLine="0"/>
      <w:spacing w:after="57"/>
    </w:pPr>
  </w:style>
  <w:style w:type="paragraph" w:styleId="903">
    <w:name w:val="toc 7"/>
    <w:basedOn w:val="908"/>
    <w:next w:val="908"/>
    <w:uiPriority w:val="39"/>
    <w:unhideWhenUsed/>
    <w:pPr>
      <w:ind w:left="1701" w:right="0" w:firstLine="0"/>
      <w:spacing w:after="57"/>
    </w:pPr>
  </w:style>
  <w:style w:type="paragraph" w:styleId="904">
    <w:name w:val="toc 8"/>
    <w:basedOn w:val="908"/>
    <w:next w:val="908"/>
    <w:uiPriority w:val="39"/>
    <w:unhideWhenUsed/>
    <w:pPr>
      <w:ind w:left="1984" w:right="0" w:firstLine="0"/>
      <w:spacing w:after="57"/>
    </w:pPr>
  </w:style>
  <w:style w:type="paragraph" w:styleId="905">
    <w:name w:val="toc 9"/>
    <w:basedOn w:val="908"/>
    <w:next w:val="908"/>
    <w:uiPriority w:val="39"/>
    <w:unhideWhenUsed/>
    <w:pPr>
      <w:ind w:left="2268" w:right="0" w:firstLine="0"/>
      <w:spacing w:after="57"/>
    </w:pPr>
  </w:style>
  <w:style w:type="paragraph" w:styleId="906">
    <w:name w:val="TOC Heading"/>
    <w:uiPriority w:val="39"/>
    <w:unhideWhenUsed/>
  </w:style>
  <w:style w:type="paragraph" w:styleId="907">
    <w:name w:val="table of figures"/>
    <w:basedOn w:val="908"/>
    <w:next w:val="908"/>
    <w:uiPriority w:val="99"/>
    <w:unhideWhenUsed/>
    <w:pPr>
      <w:spacing w:after="0" w:afterAutospacing="0"/>
    </w:pPr>
  </w:style>
  <w:style w:type="paragraph" w:styleId="908" w:default="1">
    <w:name w:val="Normal"/>
    <w:next w:val="908"/>
    <w:link w:val="908"/>
    <w:qFormat/>
    <w:rPr>
      <w:sz w:val="24"/>
      <w:szCs w:val="24"/>
      <w:lang w:val="ru-RU" w:eastAsia="ru-RU" w:bidi="ar-SA"/>
    </w:rPr>
  </w:style>
  <w:style w:type="paragraph" w:styleId="909">
    <w:name w:val="Заголовок 1"/>
    <w:basedOn w:val="908"/>
    <w:next w:val="908"/>
    <w:link w:val="924"/>
    <w:qFormat/>
    <w:pPr>
      <w:jc w:val="center"/>
      <w:keepNext/>
      <w:outlineLvl w:val="0"/>
    </w:pPr>
    <w:rPr>
      <w:b/>
      <w:sz w:val="28"/>
      <w:szCs w:val="20"/>
    </w:rPr>
  </w:style>
  <w:style w:type="paragraph" w:styleId="910">
    <w:name w:val="Заголовок 2"/>
    <w:basedOn w:val="908"/>
    <w:next w:val="908"/>
    <w:link w:val="925"/>
    <w:qFormat/>
    <w:pPr>
      <w:jc w:val="center"/>
      <w:keepNext/>
      <w:outlineLvl w:val="1"/>
    </w:pPr>
    <w:rPr>
      <w:b/>
    </w:rPr>
  </w:style>
  <w:style w:type="character" w:styleId="911">
    <w:name w:val="Основной шрифт абзаца"/>
    <w:next w:val="911"/>
    <w:link w:val="908"/>
    <w:semiHidden/>
  </w:style>
  <w:style w:type="table" w:styleId="912">
    <w:name w:val="Обычная таблица"/>
    <w:next w:val="912"/>
    <w:link w:val="908"/>
    <w:semiHidden/>
    <w:tblPr/>
  </w:style>
  <w:style w:type="numbering" w:styleId="913">
    <w:name w:val="Нет списка"/>
    <w:next w:val="913"/>
    <w:link w:val="908"/>
    <w:semiHidden/>
  </w:style>
  <w:style w:type="paragraph" w:styleId="914">
    <w:name w:val="Основной текст"/>
    <w:basedOn w:val="908"/>
    <w:next w:val="914"/>
    <w:link w:val="928"/>
    <w:rPr>
      <w:sz w:val="28"/>
      <w:szCs w:val="20"/>
    </w:rPr>
  </w:style>
  <w:style w:type="paragraph" w:styleId="915">
    <w:name w:val="ConsNormal"/>
    <w:next w:val="915"/>
    <w:link w:val="908"/>
    <w:pPr>
      <w:ind w:firstLine="720"/>
      <w:widowControl w:val="off"/>
    </w:pPr>
    <w:rPr>
      <w:rFonts w:ascii="Arial" w:hAnsi="Arial"/>
      <w:sz w:val="16"/>
      <w:lang w:val="ru-RU" w:eastAsia="ru-RU" w:bidi="ar-SA"/>
    </w:rPr>
  </w:style>
  <w:style w:type="paragraph" w:styleId="916">
    <w:name w:val="Верхний колонтитул"/>
    <w:basedOn w:val="908"/>
    <w:next w:val="916"/>
    <w:link w:val="908"/>
    <w:pPr>
      <w:tabs>
        <w:tab w:val="center" w:pos="4677" w:leader="none"/>
        <w:tab w:val="right" w:pos="9355" w:leader="none"/>
      </w:tabs>
    </w:pPr>
  </w:style>
  <w:style w:type="paragraph" w:styleId="917">
    <w:name w:val="Нижний колонтитул"/>
    <w:basedOn w:val="908"/>
    <w:next w:val="917"/>
    <w:link w:val="926"/>
    <w:pPr>
      <w:tabs>
        <w:tab w:val="center" w:pos="4677" w:leader="none"/>
        <w:tab w:val="right" w:pos="9355" w:leader="none"/>
      </w:tabs>
    </w:pPr>
  </w:style>
  <w:style w:type="character" w:styleId="918">
    <w:name w:val="Номер страницы"/>
    <w:basedOn w:val="911"/>
    <w:next w:val="918"/>
    <w:link w:val="908"/>
  </w:style>
  <w:style w:type="paragraph" w:styleId="919">
    <w:name w:val="Основной текст с отступом 2"/>
    <w:basedOn w:val="908"/>
    <w:next w:val="919"/>
    <w:link w:val="923"/>
    <w:pPr>
      <w:ind w:left="283"/>
      <w:spacing w:after="120" w:line="480" w:lineRule="auto"/>
    </w:pPr>
  </w:style>
  <w:style w:type="table" w:styleId="920">
    <w:name w:val="Сетка таблицы"/>
    <w:basedOn w:val="912"/>
    <w:next w:val="920"/>
    <w:link w:val="908"/>
    <w:tblPr/>
  </w:style>
  <w:style w:type="paragraph" w:styleId="921">
    <w:name w:val="Текст выноски"/>
    <w:basedOn w:val="908"/>
    <w:next w:val="921"/>
    <w:link w:val="922"/>
    <w:rPr>
      <w:rFonts w:ascii="Tahoma" w:hAnsi="Tahoma" w:cs="Tahoma"/>
      <w:sz w:val="16"/>
      <w:szCs w:val="16"/>
    </w:rPr>
  </w:style>
  <w:style w:type="character" w:styleId="922">
    <w:name w:val="Текст выноски Знак"/>
    <w:next w:val="922"/>
    <w:link w:val="921"/>
    <w:rPr>
      <w:rFonts w:ascii="Tahoma" w:hAnsi="Tahoma" w:cs="Tahoma"/>
      <w:sz w:val="16"/>
      <w:szCs w:val="16"/>
    </w:rPr>
  </w:style>
  <w:style w:type="character" w:styleId="923">
    <w:name w:val="Основной текст с отступом 2 Знак"/>
    <w:next w:val="923"/>
    <w:link w:val="919"/>
    <w:rPr>
      <w:sz w:val="24"/>
      <w:szCs w:val="24"/>
    </w:rPr>
  </w:style>
  <w:style w:type="character" w:styleId="924">
    <w:name w:val="Заголовок 1 Знак"/>
    <w:next w:val="924"/>
    <w:link w:val="909"/>
    <w:rPr>
      <w:b/>
      <w:sz w:val="28"/>
    </w:rPr>
  </w:style>
  <w:style w:type="character" w:styleId="925">
    <w:name w:val="Заголовок 2 Знак"/>
    <w:next w:val="925"/>
    <w:link w:val="910"/>
    <w:rPr>
      <w:b/>
      <w:sz w:val="24"/>
      <w:szCs w:val="24"/>
    </w:rPr>
  </w:style>
  <w:style w:type="character" w:styleId="926">
    <w:name w:val="Нижний колонтитул Знак"/>
    <w:next w:val="926"/>
    <w:link w:val="917"/>
    <w:rPr>
      <w:sz w:val="24"/>
      <w:szCs w:val="24"/>
    </w:rPr>
  </w:style>
  <w:style w:type="paragraph" w:styleId="927">
    <w:name w:val="Таблицы (моноширинный)"/>
    <w:basedOn w:val="908"/>
    <w:next w:val="908"/>
    <w:link w:val="908"/>
    <w:pPr>
      <w:jc w:val="both"/>
    </w:pPr>
    <w:rPr>
      <w:rFonts w:ascii="Courier New" w:hAnsi="Courier New" w:cs="Courier New"/>
      <w:sz w:val="20"/>
      <w:szCs w:val="20"/>
    </w:rPr>
  </w:style>
  <w:style w:type="character" w:styleId="928">
    <w:name w:val="Основной текст Знак"/>
    <w:next w:val="928"/>
    <w:link w:val="914"/>
    <w:rPr>
      <w:sz w:val="28"/>
    </w:rPr>
  </w:style>
  <w:style w:type="paragraph" w:styleId="929">
    <w:name w:val="ConsPlusNormal"/>
    <w:next w:val="929"/>
    <w:link w:val="908"/>
    <w:pPr>
      <w:widowControl w:val="off"/>
    </w:pPr>
    <w:rPr>
      <w:rFonts w:ascii="Arial" w:hAnsi="Arial" w:cs="Arial"/>
      <w:lang w:val="ru-RU" w:eastAsia="ru-RU" w:bidi="ar-SA"/>
    </w:rPr>
  </w:style>
  <w:style w:type="character" w:styleId="930">
    <w:name w:val="Гиперссылка"/>
    <w:next w:val="930"/>
    <w:link w:val="908"/>
    <w:uiPriority w:val="99"/>
    <w:rPr>
      <w:color w:val="0000ff"/>
      <w:u w:val="single"/>
    </w:rPr>
  </w:style>
  <w:style w:type="paragraph" w:styleId="931">
    <w:name w:val="u"/>
    <w:basedOn w:val="908"/>
    <w:next w:val="931"/>
    <w:link w:val="908"/>
    <w:pPr>
      <w:spacing w:before="100" w:beforeAutospacing="1" w:after="100" w:afterAutospacing="1"/>
    </w:pPr>
  </w:style>
  <w:style w:type="paragraph" w:styleId="932">
    <w:name w:val="Текст"/>
    <w:basedOn w:val="908"/>
    <w:next w:val="932"/>
    <w:link w:val="933"/>
    <w:unhideWhenUsed/>
    <w:rPr>
      <w:rFonts w:ascii="Courier New" w:hAnsi="Courier New" w:cs="Courier New"/>
      <w:sz w:val="20"/>
      <w:szCs w:val="20"/>
    </w:rPr>
  </w:style>
  <w:style w:type="character" w:styleId="933">
    <w:name w:val="Текст Знак"/>
    <w:next w:val="933"/>
    <w:link w:val="932"/>
    <w:rPr>
      <w:rFonts w:ascii="Courier New" w:hAnsi="Courier New" w:cs="Courier New"/>
    </w:rPr>
  </w:style>
  <w:style w:type="character" w:styleId="934" w:default="1">
    <w:name w:val="Default Paragraph Font"/>
    <w:uiPriority w:val="1"/>
    <w:semiHidden/>
    <w:unhideWhenUsed/>
  </w:style>
  <w:style w:type="numbering" w:styleId="935" w:default="1">
    <w:name w:val="No List"/>
    <w:uiPriority w:val="99"/>
    <w:semiHidden/>
    <w:unhideWhenUsed/>
  </w:style>
  <w:style w:type="table" w:styleId="936" w:default="1">
    <w:name w:val="Normal Table"/>
    <w:uiPriority w:val="99"/>
    <w:semiHidden/>
    <w:unhideWhenUsed/>
    <w:tblPr/>
  </w:style>
  <w:style w:type="paragraph" w:styleId="937" w:customStyle="1">
    <w:name w:val="Body Text"/>
    <w:uiPriority w:val="1"/>
    <w:qFormat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7"/>
      <w:szCs w:val="27"/>
      <w:highlight w:val="none"/>
      <w:u w:val="none"/>
      <w:vertAlign w:val="baseline"/>
      <w:rtl w:val="0"/>
      <w:cs w:val="0"/>
      <w:lang w:val="ru-RU" w:eastAsia="en-US" w:bidi="ar-SA"/>
      <w14:ligatures w14:val="none"/>
    </w:rPr>
  </w:style>
  <w:style w:type="paragraph" w:styleId="938" w:customStyle="1">
    <w:name w:val="docdata;docy;v5;2145;bqiaagaaeyqcaaagiaiaaaowbqaabb4faaaaaaaaaaaaaaaaaaaaaaaaaaaaaaaaaaaaaaaaaaaaaaaaaaaaaaaaaaaaaaaaaaaaaaaaaaaaaaaaaaaaaaaaaaaaaaaaaaaaaaaaaaaaaaaaaaaaaaaaaaaaaaaaaaaaaaaaaaaaaaaaaaaaaaaaaaaaaaaaaaaaaaaaaaaaaaaaaaaaaaaaaaaaaaaaaaaaaaaa"/>
    <w:basedOn w:val="735"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header" Target="header3.xml" /><Relationship Id="rId12" Type="http://schemas.openxmlformats.org/officeDocument/2006/relationships/footer" Target="footer1.xml" /><Relationship Id="rId13" Type="http://schemas.openxmlformats.org/officeDocument/2006/relationships/footer" Target="footer2.xml" /><Relationship Id="rId14" Type="http://schemas.openxmlformats.org/officeDocument/2006/relationships/image" Target="media/image1.png"/><Relationship Id="rId15" Type="http://schemas.openxmlformats.org/officeDocument/2006/relationships/image" Target="media/media1.sv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_rels/header3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Company>ДИЗО НСО</Company>
  <DocSecurity>0</DocSecurity>
  <HyperlinksChanged>false</HyperlinksChanged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распоряжения</dc:title>
  <dc:creator>ata</dc:creator>
  <cp:lastModifiedBy>eei@NSO.LOC</cp:lastModifiedBy>
  <cp:revision>15</cp:revision>
  <dcterms:created xsi:type="dcterms:W3CDTF">2024-04-08T09:47:00Z</dcterms:created>
  <dcterms:modified xsi:type="dcterms:W3CDTF">2026-03-25T04:35:53Z</dcterms:modified>
  <cp:version>1048576</cp:version>
</cp:coreProperties>
</file>